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5F" w:rsidRPr="00F74A03" w:rsidRDefault="002815F5" w:rsidP="00E94561">
      <w:pPr>
        <w:pStyle w:val="NoSpacing"/>
        <w:spacing w:before="120" w:after="120" w:line="360" w:lineRule="auto"/>
        <w:ind w:left="540"/>
        <w:jc w:val="center"/>
        <w:rPr>
          <w:rFonts w:cs="Times New Roman"/>
          <w:b/>
          <w:bCs/>
          <w:color w:val="0070C0"/>
          <w:sz w:val="28"/>
          <w:szCs w:val="28"/>
        </w:rPr>
      </w:pPr>
      <w:r>
        <w:rPr>
          <w:noProof/>
        </w:rPr>
        <w:drawing>
          <wp:inline distT="0" distB="0" distL="0" distR="0">
            <wp:extent cx="1216025" cy="1177925"/>
            <wp:effectExtent l="0" t="0" r="0" b="3175"/>
            <wp:docPr id="11" name="Picture 2" descr="DAB NEW LOGO MAY 2021 English"/>
            <wp:cNvGraphicFramePr/>
            <a:graphic xmlns:a="http://schemas.openxmlformats.org/drawingml/2006/main">
              <a:graphicData uri="http://schemas.openxmlformats.org/drawingml/2006/picture">
                <pic:pic xmlns:pic="http://schemas.openxmlformats.org/drawingml/2006/picture">
                  <pic:nvPicPr>
                    <pic:cNvPr id="1" name="Picture 2" descr="DAB NEW LOGO MAY 2021 English"/>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6025" cy="1177925"/>
                    </a:xfrm>
                    <a:prstGeom prst="rect">
                      <a:avLst/>
                    </a:prstGeom>
                    <a:noFill/>
                    <a:ln>
                      <a:noFill/>
                    </a:ln>
                  </pic:spPr>
                </pic:pic>
              </a:graphicData>
            </a:graphic>
          </wp:inline>
        </w:drawing>
      </w:r>
    </w:p>
    <w:p w:rsidR="00E94561" w:rsidRPr="00F74A03" w:rsidRDefault="00E94561" w:rsidP="00E94561">
      <w:pPr>
        <w:pStyle w:val="NoSpacing"/>
        <w:spacing w:before="120" w:after="120" w:line="360" w:lineRule="auto"/>
        <w:ind w:left="540"/>
        <w:jc w:val="center"/>
        <w:rPr>
          <w:rFonts w:cs="Times New Roman"/>
          <w:b/>
          <w:bCs/>
          <w:color w:val="0070C0"/>
          <w:sz w:val="28"/>
          <w:szCs w:val="28"/>
        </w:rPr>
      </w:pPr>
      <w:r w:rsidRPr="00F74A03">
        <w:rPr>
          <w:rFonts w:cs="Times New Roman"/>
          <w:b/>
          <w:bCs/>
          <w:color w:val="0070C0"/>
          <w:sz w:val="28"/>
          <w:szCs w:val="28"/>
        </w:rPr>
        <w:t>Da Afghanistan Bank</w:t>
      </w:r>
    </w:p>
    <w:p w:rsidR="00E94561" w:rsidRPr="00F74A03" w:rsidRDefault="00E94561" w:rsidP="00E94561">
      <w:pPr>
        <w:pStyle w:val="NoSpacing"/>
        <w:spacing w:before="120" w:after="120" w:line="360" w:lineRule="auto"/>
        <w:ind w:left="540"/>
        <w:jc w:val="center"/>
        <w:rPr>
          <w:rFonts w:cs="Times New Roman"/>
          <w:b/>
          <w:bCs/>
          <w:color w:val="0070C0"/>
          <w:sz w:val="28"/>
          <w:szCs w:val="28"/>
        </w:rPr>
      </w:pPr>
      <w:r w:rsidRPr="00F74A03">
        <w:rPr>
          <w:rFonts w:cs="Times New Roman"/>
          <w:b/>
          <w:bCs/>
          <w:color w:val="0070C0"/>
          <w:sz w:val="28"/>
          <w:szCs w:val="28"/>
        </w:rPr>
        <w:t>Monetary Policy Department</w:t>
      </w:r>
    </w:p>
    <w:p w:rsidR="002815F5" w:rsidRDefault="002815F5" w:rsidP="0068511F">
      <w:pPr>
        <w:pStyle w:val="NoSpacing"/>
        <w:spacing w:before="120" w:after="120" w:line="360" w:lineRule="auto"/>
        <w:ind w:left="540"/>
        <w:jc w:val="both"/>
        <w:rPr>
          <w:rFonts w:cs="Times New Roman"/>
          <w:b/>
          <w:bCs/>
          <w:color w:val="0070C0"/>
          <w:sz w:val="28"/>
          <w:szCs w:val="28"/>
          <w:u w:val="double"/>
        </w:rPr>
      </w:pPr>
    </w:p>
    <w:p w:rsidR="00E94561" w:rsidRPr="00F74A03" w:rsidRDefault="002A09B2" w:rsidP="0068511F">
      <w:pPr>
        <w:pStyle w:val="NoSpacing"/>
        <w:spacing w:before="120" w:after="120" w:line="360" w:lineRule="auto"/>
        <w:ind w:left="540"/>
        <w:jc w:val="both"/>
        <w:rPr>
          <w:rFonts w:cs="Times New Roman"/>
          <w:b/>
          <w:bCs/>
          <w:color w:val="285EA0"/>
          <w:sz w:val="24"/>
          <w:szCs w:val="24"/>
        </w:rPr>
      </w:pPr>
      <w:r>
        <w:rPr>
          <w:rFonts w:cs="Times New Roman"/>
          <w:b/>
          <w:bCs/>
          <w:noProof/>
          <w:color w:val="285EA0"/>
          <w:sz w:val="24"/>
          <w:szCs w:val="24"/>
        </w:rPr>
        <w:pict>
          <v:shapetype id="_x0000_t32" coordsize="21600,21600" o:spt="32" o:oned="t" path="m,l21600,21600e" filled="f">
            <v:path arrowok="t" fillok="f" o:connecttype="none"/>
            <o:lock v:ext="edit" shapetype="t"/>
          </v:shapetype>
          <v:shape id="AutoShape 38" o:spid="_x0000_s1026" type="#_x0000_t32" style="position:absolute;left:0;text-align:left;margin-left:14pt;margin-top:12pt;width:468.3pt;height:1.8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NfHQIAACAEAAAOAAAAZHJzL2Uyb0RvYy54bWysU02P2yAQvVfqf0DcG9txvtaKs2qTppdt&#10;Gyn9OBPANipmEJA4++87kDS7271V9QExzPjx3rxheX/uNTlJ5xWYmhajnBJpOAhl2pp+/7Z9t6DE&#10;B2YE02BkTR+lp/ert2+Wg63kGDrQQjqCIMZXg61pF4KtsszzTvbMj8BKg8kGXM8Chq7NhGMDovc6&#10;G+f5LBvACeuAS+/xdHNJ0lXCbxrJw9em8TIQXVPkFtLq0nqIa7Zasqp1zHaKX2mwf2DRM2Xw0hvU&#10;hgVGjk69guoVd+ChCSMOfQZNo7hMGlBNkf+lZt8xK5MWbI63tzb5/wfLv5x2jiiB3k0pMaxHj94f&#10;A6SrSbmIDRqsr7BubXYuSuRns7cPwH95zGUvkjHwFgEPw2cQCMUQKvXl3LieNFrZH3hTOkHt5JyM&#10;eLwZIc+BcDyc3k3mkwL94pgbjxezZFTGqggTOVjnwycJPYmbmvrgmGq7sAZj0HJwlyvY6cGHSPLp&#10;h/izga3SOjmvDRlqWi6KPE+kPGglYjbWedce1tqRE8PhuZt+KDfz2A5Ee1Hm4GhEQuskEx+v+8CU&#10;vuyxXpuIJ9M8IqUYwDFIt+/EQISKEop8Pp+VFCOczqKc5vGjhOkW3xUPjhIH4acKXXImduwVxfGk&#10;3GKn4jnTtmMX4gnpD++LoqThRiBFz7glS6OLF+cPIB53LuqO7uIYpvrrk4lz/jxOVU8Pe/UbAAD/&#10;/wMAUEsDBBQABgAIAAAAIQCycqgY3QAAAAgBAAAPAAAAZHJzL2Rvd25yZXYueG1sTI9BT8MwDIXv&#10;SPyHyEjcWMo0hdE1nRASMCEujGnnNDFtReOUJmsLvx5zgtOT/azn7xXb2XdixCG2gTRcLzIQSDa4&#10;lmoNh7eHqzWImAw50wVCDV8YYVuenxUmd2GiVxz3qRYcQjE3GpqU+lzKaBv0Ji5Cj8Teexi8STwO&#10;tXSDmTjcd3KZZUp60xJ/aEyP9w3aj/3Ja/h8Ojbj1Nvnx/m7OrzsdlGNwWp9eTHfbUAknNPfMfzi&#10;MzqUzFSFE7koOg3LNVdJrCtW9m/VSoGoeHGjQJaF/F+g/AEAAP//AwBQSwECLQAUAAYACAAAACEA&#10;toM4kv4AAADhAQAAEwAAAAAAAAAAAAAAAAAAAAAAW0NvbnRlbnRfVHlwZXNdLnhtbFBLAQItABQA&#10;BgAIAAAAIQA4/SH/1gAAAJQBAAALAAAAAAAAAAAAAAAAAC8BAABfcmVscy8ucmVsc1BLAQItABQA&#10;BgAIAAAAIQBwsKNfHQIAACAEAAAOAAAAAAAAAAAAAAAAAC4CAABkcnMvZTJvRG9jLnhtbFBLAQIt&#10;ABQABgAIAAAAIQCycqgY3QAAAAgBAAAPAAAAAAAAAAAAAAAAAHcEAABkcnMvZG93bnJldi54bWxQ&#10;SwUGAAAAAAQABADzAAAAgQUAAAAA&#10;" strokecolor="#95b3d7" strokeweight="3pt">
            <v:shadow on="t" color="#243f60" opacity=".5" offset="-6pt,-6pt"/>
            <o:lock v:ext="edit" shapetype="f"/>
          </v:shape>
        </w:pict>
      </w:r>
    </w:p>
    <w:p w:rsidR="00DC08F4" w:rsidRDefault="00B31C28" w:rsidP="00B31C28">
      <w:pPr>
        <w:pStyle w:val="NoSpacing"/>
        <w:tabs>
          <w:tab w:val="center" w:pos="4950"/>
          <w:tab w:val="right" w:pos="9360"/>
        </w:tabs>
        <w:spacing w:before="120" w:after="120" w:line="360" w:lineRule="auto"/>
        <w:ind w:left="540"/>
        <w:rPr>
          <w:rFonts w:cs="Times New Roman"/>
          <w:b/>
          <w:bCs/>
          <w:color w:val="548DD4"/>
          <w:sz w:val="36"/>
          <w:szCs w:val="36"/>
        </w:rPr>
      </w:pPr>
      <w:r>
        <w:rPr>
          <w:rFonts w:cs="Times New Roman"/>
          <w:b/>
          <w:bCs/>
          <w:color w:val="548DD4"/>
          <w:sz w:val="36"/>
          <w:szCs w:val="36"/>
        </w:rPr>
        <w:tab/>
      </w:r>
      <w:r w:rsidR="00E94561" w:rsidRPr="00DC08F4">
        <w:rPr>
          <w:rFonts w:cs="Times New Roman"/>
          <w:b/>
          <w:bCs/>
          <w:color w:val="548DD4"/>
          <w:sz w:val="36"/>
          <w:szCs w:val="36"/>
        </w:rPr>
        <w:t xml:space="preserve">Monthly </w:t>
      </w:r>
      <w:r w:rsidRPr="00DC08F4">
        <w:rPr>
          <w:rFonts w:cs="Times New Roman"/>
          <w:b/>
          <w:bCs/>
          <w:color w:val="548DD4"/>
          <w:sz w:val="36"/>
          <w:szCs w:val="36"/>
        </w:rPr>
        <w:t>Inflation Report</w:t>
      </w:r>
      <w:r>
        <w:rPr>
          <w:rFonts w:cs="Times New Roman"/>
          <w:b/>
          <w:bCs/>
          <w:color w:val="548DD4"/>
          <w:sz w:val="36"/>
          <w:szCs w:val="36"/>
        </w:rPr>
        <w:tab/>
      </w:r>
    </w:p>
    <w:p w:rsidR="00663CE8" w:rsidRPr="00D444E8" w:rsidRDefault="00A47555" w:rsidP="00DC08F4">
      <w:pPr>
        <w:pStyle w:val="NoSpacing"/>
        <w:spacing w:before="120" w:after="120" w:line="360" w:lineRule="auto"/>
        <w:ind w:left="540"/>
        <w:jc w:val="center"/>
        <w:rPr>
          <w:rFonts w:cs="Times New Roman"/>
          <w:b/>
          <w:bCs/>
          <w:color w:val="548DD4"/>
          <w:sz w:val="36"/>
          <w:szCs w:val="36"/>
        </w:rPr>
      </w:pPr>
      <w:r>
        <w:rPr>
          <w:rFonts w:cs="Times New Roman"/>
          <w:b/>
          <w:bCs/>
          <w:color w:val="548DD4"/>
          <w:sz w:val="36"/>
          <w:szCs w:val="36"/>
        </w:rPr>
        <w:t>Jul</w:t>
      </w:r>
      <w:r w:rsidR="003A0EAE">
        <w:rPr>
          <w:rFonts w:cs="Times New Roman"/>
          <w:b/>
          <w:bCs/>
          <w:color w:val="548DD4"/>
          <w:sz w:val="36"/>
          <w:szCs w:val="36"/>
        </w:rPr>
        <w:t xml:space="preserve">y 2020 </w:t>
      </w:r>
    </w:p>
    <w:p w:rsidR="00663CE8" w:rsidRDefault="00B31C28" w:rsidP="00DC08F4">
      <w:pPr>
        <w:pStyle w:val="NoSpacing"/>
        <w:spacing w:before="120" w:after="120" w:line="360" w:lineRule="auto"/>
        <w:ind w:left="540"/>
        <w:jc w:val="center"/>
        <w:rPr>
          <w:rFonts w:cs="Times New Roman"/>
          <w:b/>
          <w:bCs/>
          <w:color w:val="17365D"/>
          <w:sz w:val="28"/>
          <w:szCs w:val="28"/>
        </w:rPr>
      </w:pPr>
      <w:r w:rsidRPr="00B31C28">
        <w:rPr>
          <w:rFonts w:cs="Times New Roman"/>
          <w:b/>
          <w:bCs/>
          <w:noProof/>
          <w:color w:val="17365D"/>
          <w:sz w:val="28"/>
          <w:szCs w:val="28"/>
        </w:rPr>
        <w:drawing>
          <wp:inline distT="0" distB="0" distL="0" distR="0">
            <wp:extent cx="5943600" cy="3425190"/>
            <wp:effectExtent l="19050" t="0" r="19050" b="381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3409" w:rsidRPr="004B598C" w:rsidRDefault="00AD3409" w:rsidP="00DC08F4">
      <w:pPr>
        <w:pStyle w:val="NoSpacing"/>
        <w:spacing w:before="120" w:after="120" w:line="360" w:lineRule="auto"/>
        <w:ind w:left="540"/>
        <w:jc w:val="center"/>
        <w:rPr>
          <w:rFonts w:cs="Times New Roman"/>
          <w:color w:val="000000"/>
          <w:sz w:val="24"/>
          <w:szCs w:val="24"/>
        </w:rPr>
        <w:sectPr w:rsidR="00AD3409" w:rsidRPr="004B598C" w:rsidSect="00F43477">
          <w:headerReference w:type="default" r:id="rId10"/>
          <w:footerReference w:type="default" r:id="rId11"/>
          <w:pgSz w:w="12240" w:h="15840" w:code="1"/>
          <w:pgMar w:top="1440" w:right="1440" w:bottom="1440" w:left="1440" w:header="720" w:footer="720" w:gutter="0"/>
          <w:cols w:space="432"/>
          <w:titlePg/>
          <w:docGrid w:linePitch="360"/>
        </w:sectPr>
      </w:pPr>
    </w:p>
    <w:p w:rsidR="002815F5" w:rsidRDefault="002815F5" w:rsidP="005E2879">
      <w:pPr>
        <w:pStyle w:val="Heading1"/>
        <w:spacing w:before="120" w:after="120" w:line="360" w:lineRule="atLeast"/>
        <w:rPr>
          <w:rFonts w:ascii="Calibri" w:eastAsia="Calibri" w:hAnsi="Calibri" w:cs="Arial"/>
          <w:i/>
          <w:iCs/>
          <w:color w:val="1F497D"/>
          <w:u w:val="single"/>
        </w:rPr>
      </w:pPr>
    </w:p>
    <w:sdt>
      <w:sdtPr>
        <w:rPr>
          <w:rFonts w:ascii="Calibri" w:eastAsia="Calibri" w:hAnsi="Calibri" w:cs="Arial"/>
          <w:color w:val="auto"/>
          <w:sz w:val="22"/>
          <w:szCs w:val="22"/>
        </w:rPr>
        <w:id w:val="224274084"/>
        <w:docPartObj>
          <w:docPartGallery w:val="Table of Contents"/>
          <w:docPartUnique/>
        </w:docPartObj>
      </w:sdtPr>
      <w:sdtEndPr>
        <w:rPr>
          <w:b/>
          <w:bCs/>
          <w:noProof/>
        </w:rPr>
      </w:sdtEndPr>
      <w:sdtContent>
        <w:p w:rsidR="00237567" w:rsidRDefault="00237567">
          <w:pPr>
            <w:pStyle w:val="TOCHeading"/>
          </w:pPr>
          <w:r>
            <w:t>Contents</w:t>
          </w:r>
        </w:p>
        <w:p w:rsidR="00237567" w:rsidRDefault="002A09B2">
          <w:pPr>
            <w:pStyle w:val="TOC1"/>
            <w:tabs>
              <w:tab w:val="right" w:leader="dot" w:pos="9350"/>
            </w:tabs>
            <w:rPr>
              <w:rFonts w:asciiTheme="minorHAnsi" w:eastAsiaTheme="minorEastAsia" w:hAnsiTheme="minorHAnsi" w:cstheme="minorBidi"/>
              <w:noProof/>
            </w:rPr>
          </w:pPr>
          <w:r w:rsidRPr="002A09B2">
            <w:fldChar w:fldCharType="begin"/>
          </w:r>
          <w:r w:rsidR="00237567">
            <w:instrText xml:space="preserve"> TOC \o "1-3" \h \z \u </w:instrText>
          </w:r>
          <w:r w:rsidRPr="002A09B2">
            <w:fldChar w:fldCharType="separate"/>
          </w:r>
          <w:hyperlink w:anchor="_Toc91670354" w:history="1">
            <w:r w:rsidR="00237567" w:rsidRPr="005E4976">
              <w:rPr>
                <w:rStyle w:val="Hyperlink"/>
                <w:noProof/>
              </w:rPr>
              <w:t>PREFACE</w:t>
            </w:r>
            <w:r w:rsidR="00237567">
              <w:rPr>
                <w:noProof/>
                <w:webHidden/>
              </w:rPr>
              <w:tab/>
            </w:r>
            <w:r>
              <w:rPr>
                <w:noProof/>
                <w:webHidden/>
              </w:rPr>
              <w:fldChar w:fldCharType="begin"/>
            </w:r>
            <w:r w:rsidR="00237567">
              <w:rPr>
                <w:noProof/>
                <w:webHidden/>
              </w:rPr>
              <w:instrText xml:space="preserve"> PAGEREF _Toc91670354 \h </w:instrText>
            </w:r>
            <w:r>
              <w:rPr>
                <w:noProof/>
                <w:webHidden/>
              </w:rPr>
            </w:r>
            <w:r>
              <w:rPr>
                <w:noProof/>
                <w:webHidden/>
              </w:rPr>
              <w:fldChar w:fldCharType="separate"/>
            </w:r>
            <w:r w:rsidR="00237567">
              <w:rPr>
                <w:noProof/>
                <w:webHidden/>
              </w:rPr>
              <w:t>ii</w:t>
            </w:r>
            <w:r>
              <w:rPr>
                <w:noProof/>
                <w:webHidden/>
              </w:rPr>
              <w:fldChar w:fldCharType="end"/>
            </w:r>
          </w:hyperlink>
        </w:p>
        <w:p w:rsidR="00237567" w:rsidRDefault="002A09B2">
          <w:pPr>
            <w:pStyle w:val="TOC1"/>
            <w:tabs>
              <w:tab w:val="right" w:leader="dot" w:pos="9350"/>
            </w:tabs>
            <w:rPr>
              <w:rFonts w:asciiTheme="minorHAnsi" w:eastAsiaTheme="minorEastAsia" w:hAnsiTheme="minorHAnsi" w:cstheme="minorBidi"/>
              <w:noProof/>
            </w:rPr>
          </w:pPr>
          <w:hyperlink w:anchor="_Toc91670355" w:history="1">
            <w:r w:rsidR="00237567" w:rsidRPr="005E4976">
              <w:rPr>
                <w:rStyle w:val="Hyperlink"/>
                <w:noProof/>
              </w:rPr>
              <w:t>THE CONSUMER PRICE INDEX</w:t>
            </w:r>
            <w:r w:rsidR="00237567">
              <w:rPr>
                <w:noProof/>
                <w:webHidden/>
              </w:rPr>
              <w:tab/>
            </w:r>
            <w:r>
              <w:rPr>
                <w:noProof/>
                <w:webHidden/>
              </w:rPr>
              <w:fldChar w:fldCharType="begin"/>
            </w:r>
            <w:r w:rsidR="00237567">
              <w:rPr>
                <w:noProof/>
                <w:webHidden/>
              </w:rPr>
              <w:instrText xml:space="preserve"> PAGEREF _Toc91670355 \h </w:instrText>
            </w:r>
            <w:r>
              <w:rPr>
                <w:noProof/>
                <w:webHidden/>
              </w:rPr>
            </w:r>
            <w:r>
              <w:rPr>
                <w:noProof/>
                <w:webHidden/>
              </w:rPr>
              <w:fldChar w:fldCharType="separate"/>
            </w:r>
            <w:r w:rsidR="00237567">
              <w:rPr>
                <w:noProof/>
                <w:webHidden/>
              </w:rPr>
              <w:t>ii</w:t>
            </w:r>
            <w:r>
              <w:rPr>
                <w:noProof/>
                <w:webHidden/>
              </w:rPr>
              <w:fldChar w:fldCharType="end"/>
            </w:r>
          </w:hyperlink>
        </w:p>
        <w:p w:rsidR="00237567" w:rsidRDefault="002A09B2">
          <w:pPr>
            <w:pStyle w:val="TOC1"/>
            <w:tabs>
              <w:tab w:val="right" w:leader="dot" w:pos="9350"/>
            </w:tabs>
            <w:rPr>
              <w:rFonts w:asciiTheme="minorHAnsi" w:eastAsiaTheme="minorEastAsia" w:hAnsiTheme="minorHAnsi" w:cstheme="minorBidi"/>
              <w:noProof/>
            </w:rPr>
          </w:pPr>
          <w:hyperlink w:anchor="_Toc91670356" w:history="1">
            <w:r w:rsidR="00237567" w:rsidRPr="005E4976">
              <w:rPr>
                <w:rStyle w:val="Hyperlink"/>
                <w:noProof/>
              </w:rPr>
              <w:t>KEY POINTS</w:t>
            </w:r>
            <w:r w:rsidR="00237567">
              <w:rPr>
                <w:noProof/>
                <w:webHidden/>
              </w:rPr>
              <w:tab/>
            </w:r>
            <w:r>
              <w:rPr>
                <w:noProof/>
                <w:webHidden/>
              </w:rPr>
              <w:fldChar w:fldCharType="begin"/>
            </w:r>
            <w:r w:rsidR="00237567">
              <w:rPr>
                <w:noProof/>
                <w:webHidden/>
              </w:rPr>
              <w:instrText xml:space="preserve"> PAGEREF _Toc91670356 \h </w:instrText>
            </w:r>
            <w:r>
              <w:rPr>
                <w:noProof/>
                <w:webHidden/>
              </w:rPr>
            </w:r>
            <w:r>
              <w:rPr>
                <w:noProof/>
                <w:webHidden/>
              </w:rPr>
              <w:fldChar w:fldCharType="separate"/>
            </w:r>
            <w:r w:rsidR="00237567">
              <w:rPr>
                <w:noProof/>
                <w:webHidden/>
              </w:rPr>
              <w:t>1</w:t>
            </w:r>
            <w:r>
              <w:rPr>
                <w:noProof/>
                <w:webHidden/>
              </w:rPr>
              <w:fldChar w:fldCharType="end"/>
            </w:r>
          </w:hyperlink>
        </w:p>
        <w:p w:rsidR="00237567" w:rsidRDefault="002A09B2">
          <w:pPr>
            <w:pStyle w:val="TOC1"/>
            <w:tabs>
              <w:tab w:val="right" w:leader="dot" w:pos="9350"/>
            </w:tabs>
            <w:rPr>
              <w:rFonts w:asciiTheme="minorHAnsi" w:eastAsiaTheme="minorEastAsia" w:hAnsiTheme="minorHAnsi" w:cstheme="minorBidi"/>
              <w:noProof/>
            </w:rPr>
          </w:pPr>
          <w:hyperlink w:anchor="_Toc91670357" w:history="1">
            <w:r w:rsidR="00237567" w:rsidRPr="005E4976">
              <w:rPr>
                <w:rStyle w:val="Hyperlink"/>
                <w:noProof/>
              </w:rPr>
              <w:t>HEADLINE INFLATION</w:t>
            </w:r>
            <w:r w:rsidR="00237567">
              <w:rPr>
                <w:noProof/>
                <w:webHidden/>
              </w:rPr>
              <w:tab/>
            </w:r>
            <w:r>
              <w:rPr>
                <w:noProof/>
                <w:webHidden/>
              </w:rPr>
              <w:fldChar w:fldCharType="begin"/>
            </w:r>
            <w:r w:rsidR="00237567">
              <w:rPr>
                <w:noProof/>
                <w:webHidden/>
              </w:rPr>
              <w:instrText xml:space="preserve"> PAGEREF _Toc91670357 \h </w:instrText>
            </w:r>
            <w:r>
              <w:rPr>
                <w:noProof/>
                <w:webHidden/>
              </w:rPr>
            </w:r>
            <w:r>
              <w:rPr>
                <w:noProof/>
                <w:webHidden/>
              </w:rPr>
              <w:fldChar w:fldCharType="separate"/>
            </w:r>
            <w:r w:rsidR="00237567">
              <w:rPr>
                <w:noProof/>
                <w:webHidden/>
              </w:rPr>
              <w:t>2</w:t>
            </w:r>
            <w:r>
              <w:rPr>
                <w:noProof/>
                <w:webHidden/>
              </w:rPr>
              <w:fldChar w:fldCharType="end"/>
            </w:r>
          </w:hyperlink>
        </w:p>
        <w:p w:rsidR="00237567" w:rsidRDefault="002A09B2">
          <w:pPr>
            <w:pStyle w:val="TOC1"/>
            <w:tabs>
              <w:tab w:val="right" w:leader="dot" w:pos="9350"/>
            </w:tabs>
            <w:rPr>
              <w:rFonts w:asciiTheme="minorHAnsi" w:eastAsiaTheme="minorEastAsia" w:hAnsiTheme="minorHAnsi" w:cstheme="minorBidi"/>
              <w:noProof/>
            </w:rPr>
          </w:pPr>
          <w:hyperlink w:anchor="_Toc91670358" w:history="1">
            <w:r w:rsidR="00237567" w:rsidRPr="005E4976">
              <w:rPr>
                <w:rStyle w:val="Hyperlink"/>
                <w:noProof/>
              </w:rPr>
              <w:t>FOOD INFLATION</w:t>
            </w:r>
            <w:r w:rsidR="00237567">
              <w:rPr>
                <w:noProof/>
                <w:webHidden/>
              </w:rPr>
              <w:tab/>
            </w:r>
            <w:r>
              <w:rPr>
                <w:noProof/>
                <w:webHidden/>
              </w:rPr>
              <w:fldChar w:fldCharType="begin"/>
            </w:r>
            <w:r w:rsidR="00237567">
              <w:rPr>
                <w:noProof/>
                <w:webHidden/>
              </w:rPr>
              <w:instrText xml:space="preserve"> PAGEREF _Toc91670358 \h </w:instrText>
            </w:r>
            <w:r>
              <w:rPr>
                <w:noProof/>
                <w:webHidden/>
              </w:rPr>
            </w:r>
            <w:r>
              <w:rPr>
                <w:noProof/>
                <w:webHidden/>
              </w:rPr>
              <w:fldChar w:fldCharType="separate"/>
            </w:r>
            <w:r w:rsidR="00237567">
              <w:rPr>
                <w:noProof/>
                <w:webHidden/>
              </w:rPr>
              <w:t>3</w:t>
            </w:r>
            <w:r>
              <w:rPr>
                <w:noProof/>
                <w:webHidden/>
              </w:rPr>
              <w:fldChar w:fldCharType="end"/>
            </w:r>
          </w:hyperlink>
          <w:bookmarkStart w:id="0" w:name="_GoBack"/>
          <w:bookmarkEnd w:id="0"/>
        </w:p>
        <w:p w:rsidR="00237567" w:rsidRDefault="002A09B2">
          <w:pPr>
            <w:pStyle w:val="TOC1"/>
            <w:tabs>
              <w:tab w:val="right" w:leader="dot" w:pos="9350"/>
            </w:tabs>
            <w:rPr>
              <w:rFonts w:asciiTheme="minorHAnsi" w:eastAsiaTheme="minorEastAsia" w:hAnsiTheme="minorHAnsi" w:cstheme="minorBidi"/>
              <w:noProof/>
            </w:rPr>
          </w:pPr>
          <w:hyperlink w:anchor="_Toc91670359" w:history="1">
            <w:r w:rsidR="00237567" w:rsidRPr="005E4976">
              <w:rPr>
                <w:rStyle w:val="Hyperlink"/>
                <w:noProof/>
              </w:rPr>
              <w:t>NON-FOOD INFLATION</w:t>
            </w:r>
            <w:r w:rsidR="00237567">
              <w:rPr>
                <w:noProof/>
                <w:webHidden/>
              </w:rPr>
              <w:tab/>
            </w:r>
            <w:r>
              <w:rPr>
                <w:noProof/>
                <w:webHidden/>
              </w:rPr>
              <w:fldChar w:fldCharType="begin"/>
            </w:r>
            <w:r w:rsidR="00237567">
              <w:rPr>
                <w:noProof/>
                <w:webHidden/>
              </w:rPr>
              <w:instrText xml:space="preserve"> PAGEREF _Toc91670359 \h </w:instrText>
            </w:r>
            <w:r>
              <w:rPr>
                <w:noProof/>
                <w:webHidden/>
              </w:rPr>
            </w:r>
            <w:r>
              <w:rPr>
                <w:noProof/>
                <w:webHidden/>
              </w:rPr>
              <w:fldChar w:fldCharType="separate"/>
            </w:r>
            <w:r w:rsidR="00237567">
              <w:rPr>
                <w:noProof/>
                <w:webHidden/>
              </w:rPr>
              <w:t>8</w:t>
            </w:r>
            <w:r>
              <w:rPr>
                <w:noProof/>
                <w:webHidden/>
              </w:rPr>
              <w:fldChar w:fldCharType="end"/>
            </w:r>
          </w:hyperlink>
        </w:p>
        <w:p w:rsidR="00237567" w:rsidRDefault="002A09B2">
          <w:pPr>
            <w:pStyle w:val="TOC1"/>
            <w:tabs>
              <w:tab w:val="right" w:leader="dot" w:pos="9350"/>
            </w:tabs>
            <w:rPr>
              <w:rFonts w:asciiTheme="minorHAnsi" w:eastAsiaTheme="minorEastAsia" w:hAnsiTheme="minorHAnsi" w:cstheme="minorBidi"/>
              <w:noProof/>
            </w:rPr>
          </w:pPr>
          <w:hyperlink w:anchor="_Toc91670360" w:history="1">
            <w:r w:rsidR="00237567" w:rsidRPr="005E4976">
              <w:rPr>
                <w:rStyle w:val="Hyperlink"/>
                <w:noProof/>
              </w:rPr>
              <w:t>CORE INFLATION</w:t>
            </w:r>
            <w:r w:rsidR="00237567">
              <w:rPr>
                <w:noProof/>
                <w:webHidden/>
              </w:rPr>
              <w:tab/>
            </w:r>
            <w:r>
              <w:rPr>
                <w:noProof/>
                <w:webHidden/>
              </w:rPr>
              <w:fldChar w:fldCharType="begin"/>
            </w:r>
            <w:r w:rsidR="00237567">
              <w:rPr>
                <w:noProof/>
                <w:webHidden/>
              </w:rPr>
              <w:instrText xml:space="preserve"> PAGEREF _Toc91670360 \h </w:instrText>
            </w:r>
            <w:r>
              <w:rPr>
                <w:noProof/>
                <w:webHidden/>
              </w:rPr>
            </w:r>
            <w:r>
              <w:rPr>
                <w:noProof/>
                <w:webHidden/>
              </w:rPr>
              <w:fldChar w:fldCharType="separate"/>
            </w:r>
            <w:r w:rsidR="00237567">
              <w:rPr>
                <w:noProof/>
                <w:webHidden/>
              </w:rPr>
              <w:t>13</w:t>
            </w:r>
            <w:r>
              <w:rPr>
                <w:noProof/>
                <w:webHidden/>
              </w:rPr>
              <w:fldChar w:fldCharType="end"/>
            </w:r>
          </w:hyperlink>
        </w:p>
        <w:p w:rsidR="00237567" w:rsidRDefault="002A09B2">
          <w:r>
            <w:rPr>
              <w:b/>
              <w:bCs/>
              <w:noProof/>
            </w:rPr>
            <w:fldChar w:fldCharType="end"/>
          </w:r>
        </w:p>
      </w:sdtContent>
    </w:sdt>
    <w:p w:rsidR="002815F5" w:rsidRDefault="002815F5" w:rsidP="005E2879">
      <w:pPr>
        <w:pStyle w:val="Heading1"/>
        <w:spacing w:before="120" w:after="120" w:line="360" w:lineRule="atLeast"/>
        <w:rPr>
          <w:rFonts w:ascii="Calibri" w:eastAsia="Calibri" w:hAnsi="Calibri" w:cs="Arial"/>
          <w:i/>
          <w:iCs/>
          <w:color w:val="1F497D"/>
          <w:u w:val="single"/>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Default="00237567" w:rsidP="00237567">
      <w:pPr>
        <w:rPr>
          <w:lang/>
        </w:rPr>
      </w:pPr>
    </w:p>
    <w:p w:rsidR="00237567" w:rsidRPr="00237567" w:rsidRDefault="00237567" w:rsidP="00237567">
      <w:pPr>
        <w:rPr>
          <w:lang/>
        </w:rPr>
      </w:pPr>
    </w:p>
    <w:p w:rsidR="00E676E7" w:rsidRPr="002815F5" w:rsidRDefault="00E676E7" w:rsidP="002815F5">
      <w:pPr>
        <w:pStyle w:val="Heading1"/>
        <w:rPr>
          <w:rFonts w:eastAsia="Calibri"/>
        </w:rPr>
      </w:pPr>
      <w:bookmarkStart w:id="1" w:name="_Toc91670354"/>
      <w:r w:rsidRPr="002815F5">
        <w:rPr>
          <w:rFonts w:eastAsia="Calibri"/>
        </w:rPr>
        <w:t>PREFACE</w:t>
      </w:r>
      <w:bookmarkEnd w:id="1"/>
    </w:p>
    <w:p w:rsidR="004C2D60" w:rsidRPr="00F74A03" w:rsidRDefault="005A3FC8" w:rsidP="004C2D60">
      <w:pPr>
        <w:tabs>
          <w:tab w:val="left" w:pos="2880"/>
        </w:tabs>
        <w:spacing w:before="120" w:after="120" w:line="360" w:lineRule="atLeast"/>
        <w:jc w:val="both"/>
        <w:rPr>
          <w:rFonts w:cs="Cambria"/>
        </w:rPr>
      </w:pPr>
      <w:r>
        <w:rPr>
          <w:rFonts w:cs="Cambria"/>
        </w:rPr>
        <w:t>Based on the article 2</w:t>
      </w:r>
      <w:r w:rsidR="004C2D60" w:rsidRPr="00F74A03">
        <w:rPr>
          <w:rFonts w:cs="Cambria"/>
        </w:rPr>
        <w:t xml:space="preserve"> of Da Afghanistan Bank (DAB) law, the primary objective of DAB is to maintain price stability, which is a situation where inflation is low enough that it no longer has a substantial effect on people’s economic decisions. </w:t>
      </w:r>
    </w:p>
    <w:p w:rsidR="004C2D60" w:rsidRPr="00F74A03" w:rsidRDefault="004C2D60" w:rsidP="004C2D60">
      <w:pPr>
        <w:tabs>
          <w:tab w:val="left" w:pos="2880"/>
        </w:tabs>
        <w:spacing w:before="120" w:after="120" w:line="360" w:lineRule="atLeast"/>
        <w:jc w:val="both"/>
        <w:rPr>
          <w:rFonts w:cs="Cambria"/>
        </w:rPr>
      </w:pPr>
      <w:r w:rsidRPr="00F74A03">
        <w:rPr>
          <w:rFonts w:cs="Cambria"/>
        </w:rPr>
        <w:t xml:space="preserve">Generally, the </w:t>
      </w:r>
      <w:r w:rsidR="007E4601" w:rsidRPr="00F74A03">
        <w:rPr>
          <w:rFonts w:cs="Cambria"/>
        </w:rPr>
        <w:t>aim of the Monetary Policy Departme</w:t>
      </w:r>
      <w:r w:rsidR="007E4601">
        <w:rPr>
          <w:rFonts w:cs="Cambria"/>
        </w:rPr>
        <w:t>nt (MPD) is the price stability and</w:t>
      </w:r>
      <w:r w:rsidR="007E4601" w:rsidRPr="00F74A03">
        <w:rPr>
          <w:rFonts w:cs="Cambria"/>
        </w:rPr>
        <w:t xml:space="preserve"> reaps</w:t>
      </w:r>
      <w:r w:rsidRPr="00F74A03">
        <w:rPr>
          <w:rFonts w:cs="Cambria"/>
        </w:rPr>
        <w:t xml:space="preserve"> benefit from low inflation in the economy. Besides, MPD is responsible to design and implement sound and prudent monetary policy to contribute to economic growth and strengthen financial stability.</w:t>
      </w:r>
    </w:p>
    <w:p w:rsidR="004C2D60" w:rsidRPr="00F74A03" w:rsidRDefault="004C2D60" w:rsidP="004C2D60">
      <w:pPr>
        <w:tabs>
          <w:tab w:val="left" w:pos="2880"/>
        </w:tabs>
        <w:spacing w:before="120" w:after="120" w:line="360" w:lineRule="atLeast"/>
        <w:jc w:val="both"/>
        <w:rPr>
          <w:rFonts w:cs="Cambria"/>
        </w:rPr>
      </w:pPr>
      <w:r w:rsidRPr="00F74A03">
        <w:rPr>
          <w:rFonts w:cs="Cambria"/>
        </w:rPr>
        <w:lastRenderedPageBreak/>
        <w:t xml:space="preserve">Inflation always refers to an increase in the overall price level, which showed by national currency. Inflation does not refer to an increase in the cost of one product or service or even several products. Prices tend to go up when demand for goods and services exceeds the economy’s capacity to meet the extreme demand of goods and services. </w:t>
      </w:r>
    </w:p>
    <w:p w:rsidR="004C2D60" w:rsidRPr="00F74A03" w:rsidRDefault="004C2D60" w:rsidP="004C2D60">
      <w:pPr>
        <w:tabs>
          <w:tab w:val="left" w:pos="2880"/>
        </w:tabs>
        <w:spacing w:before="120" w:after="120" w:line="360" w:lineRule="atLeast"/>
        <w:jc w:val="both"/>
        <w:rPr>
          <w:rFonts w:cs="Cambria"/>
        </w:rPr>
      </w:pPr>
      <w:r w:rsidRPr="00F74A03">
        <w:rPr>
          <w:rFonts w:cs="Cambria"/>
        </w:rPr>
        <w:t>MPD evaluates changes in inflation by monitoring several different price indices. A price index measures changes in the price of a basket of consumer goods and services.  They also consider several price indices, because different indices track different products and services, and since indices are calculated differently, therefore, various indexes can send diverse signals about inflation.</w:t>
      </w:r>
    </w:p>
    <w:p w:rsidR="004C2D60" w:rsidRPr="00F74A03" w:rsidRDefault="004C2D60" w:rsidP="004C2D60">
      <w:pPr>
        <w:tabs>
          <w:tab w:val="left" w:pos="2880"/>
        </w:tabs>
        <w:spacing w:before="120" w:after="120" w:line="360" w:lineRule="atLeast"/>
        <w:jc w:val="both"/>
        <w:rPr>
          <w:rFonts w:cs="Cambria"/>
        </w:rPr>
      </w:pPr>
      <w:r w:rsidRPr="00F74A03">
        <w:rPr>
          <w:rFonts w:cs="Cambria"/>
        </w:rPr>
        <w:t xml:space="preserve">It is obvious that an economy </w:t>
      </w:r>
      <w:r w:rsidR="005A3FC8" w:rsidRPr="00F74A03">
        <w:rPr>
          <w:rFonts w:cs="Cambria"/>
        </w:rPr>
        <w:t>can</w:t>
      </w:r>
      <w:r w:rsidR="005A3FC8">
        <w:rPr>
          <w:rFonts w:cs="Cambria"/>
        </w:rPr>
        <w:t>n</w:t>
      </w:r>
      <w:r w:rsidR="005A3FC8" w:rsidRPr="00F74A03">
        <w:rPr>
          <w:rFonts w:cs="Cambria"/>
        </w:rPr>
        <w:t>ot</w:t>
      </w:r>
      <w:r w:rsidRPr="00F74A03">
        <w:rPr>
          <w:rFonts w:cs="Cambria"/>
        </w:rPr>
        <w:t xml:space="preserve"> have a dynamic and sustainable growth if there are extreme fluctuations in the price level.  MPD is committed to feature, adapt and execute a prudent and sound monetary policy in order to maintain inflation in a single digit up to an acceptable level and strengthen its dynamic contribution to the economic growth considering the economic performance of the country and the stability in the country as a whole. </w:t>
      </w:r>
    </w:p>
    <w:p w:rsidR="004C2D60" w:rsidRPr="005E2879" w:rsidRDefault="004C2D60" w:rsidP="002815F5">
      <w:pPr>
        <w:pStyle w:val="Heading1"/>
        <w:rPr>
          <w:rFonts w:cs="ArialMT"/>
          <w:color w:val="0070C0"/>
          <w:sz w:val="32"/>
        </w:rPr>
      </w:pPr>
      <w:bookmarkStart w:id="2" w:name="_Toc91670355"/>
      <w:r w:rsidRPr="00F74A03">
        <w:t>THE CONSUMER PRICE INDEX</w:t>
      </w:r>
      <w:bookmarkEnd w:id="2"/>
    </w:p>
    <w:p w:rsidR="004C2D60" w:rsidRPr="00F74A03" w:rsidRDefault="004C2D60" w:rsidP="004C2D60">
      <w:pPr>
        <w:tabs>
          <w:tab w:val="left" w:pos="2880"/>
        </w:tabs>
        <w:spacing w:before="120" w:after="120" w:line="360" w:lineRule="atLeast"/>
        <w:jc w:val="both"/>
        <w:rPr>
          <w:rFonts w:cs="Cambria"/>
        </w:rPr>
      </w:pPr>
      <w:r w:rsidRPr="00F74A03">
        <w:rPr>
          <w:rFonts w:cs="Cambria"/>
        </w:rPr>
        <w:t xml:space="preserve">The Consumer Price Index (CPI) is a broad measure of cost of living in Afghanistan. However, there are some other methods to measure movements in price level, but still the CPI is accepted and known as the most important indicator due to its widespread use. </w:t>
      </w:r>
    </w:p>
    <w:p w:rsidR="004C2D60" w:rsidRPr="00F74A03" w:rsidRDefault="004C2D60" w:rsidP="00D9711C">
      <w:pPr>
        <w:spacing w:before="120" w:after="120" w:line="360" w:lineRule="atLeast"/>
        <w:jc w:val="both"/>
        <w:rPr>
          <w:rFonts w:cs="Cambria"/>
        </w:rPr>
      </w:pPr>
      <w:r>
        <w:rPr>
          <w:rFonts w:cs="Cambria"/>
        </w:rPr>
        <w:t>The National Statistics and Information Authority (NSIA</w:t>
      </w:r>
      <w:r w:rsidR="00ED472F">
        <w:rPr>
          <w:rFonts w:cs="Cambria"/>
        </w:rPr>
        <w:t>) have</w:t>
      </w:r>
      <w:r w:rsidRPr="00F74A03">
        <w:rPr>
          <w:rFonts w:cs="Cambria"/>
        </w:rPr>
        <w:t xml:space="preserve"> brought some changes in the CPI basket in both base-year (changed to </w:t>
      </w:r>
      <w:r w:rsidR="003C3C33">
        <w:rPr>
          <w:rFonts w:cs="Cambria"/>
        </w:rPr>
        <w:t>April</w:t>
      </w:r>
      <w:r w:rsidRPr="00F74A03">
        <w:rPr>
          <w:rFonts w:cs="Cambria"/>
        </w:rPr>
        <w:t xml:space="preserve"> 201</w:t>
      </w:r>
      <w:r w:rsidR="00B63C5D">
        <w:rPr>
          <w:rFonts w:cs="Cambria"/>
        </w:rPr>
        <w:t>5</w:t>
      </w:r>
      <w:r w:rsidRPr="00F74A03">
        <w:rPr>
          <w:rFonts w:cs="Cambria"/>
        </w:rPr>
        <w:t xml:space="preserve"> from March 20</w:t>
      </w:r>
      <w:r w:rsidR="00EB7DB1">
        <w:rPr>
          <w:rFonts w:cs="Cambria"/>
        </w:rPr>
        <w:t>11</w:t>
      </w:r>
      <w:r w:rsidRPr="00F74A03">
        <w:rPr>
          <w:rFonts w:cs="Cambria"/>
        </w:rPr>
        <w:t xml:space="preserve">) and items. As a result, significant changes can be observed in the current weight and index. The CPI basket has changed as some of previous items have excluded and some of them have merged. The new changes to the basket will represent a good picture of inflation trend. For example, in the Food items, beverages now merged with Food main item, tea and beverages, which came under the Food items replaced by non-alcoholic beverages. In the Non-food items, housing item renamed as housing, electricity, water and gas and some of the previous items under housing such as rent, construction materials and fuel have excluded. Meanwhile, in the non-food items some items have been included such as recreation, culture, restaurants, and hotels. </w:t>
      </w:r>
    </w:p>
    <w:p w:rsidR="004C2D60" w:rsidRPr="00F74A03" w:rsidRDefault="004C2D60" w:rsidP="004C2D60">
      <w:pPr>
        <w:tabs>
          <w:tab w:val="left" w:pos="2880"/>
        </w:tabs>
        <w:spacing w:before="120" w:after="120" w:line="360" w:lineRule="atLeast"/>
        <w:jc w:val="both"/>
        <w:rPr>
          <w:rFonts w:cs="Cambria"/>
        </w:rPr>
      </w:pPr>
      <w:r w:rsidRPr="00F74A03">
        <w:rPr>
          <w:rFonts w:cs="Cambria"/>
        </w:rPr>
        <w:t xml:space="preserve">Weight of any item in the basket reflects the percentage that the item has in the total basket and reflects typical consumer spending patterns. For instance, since people usually spend more on food than health, changes in the price of food have a bigger impact on the index than changes in the price of health. </w:t>
      </w:r>
    </w:p>
    <w:p w:rsidR="004C2D60" w:rsidRPr="002815F5" w:rsidRDefault="004C2D60" w:rsidP="004C2D60">
      <w:pPr>
        <w:autoSpaceDE w:val="0"/>
        <w:autoSpaceDN w:val="0"/>
        <w:adjustRightInd w:val="0"/>
        <w:spacing w:before="120" w:after="120" w:line="360" w:lineRule="atLeast"/>
        <w:jc w:val="both"/>
        <w:rPr>
          <w:b/>
          <w:bCs/>
          <w:color w:val="1F497D"/>
          <w:sz w:val="28"/>
          <w:szCs w:val="28"/>
          <w:u w:val="single"/>
        </w:rPr>
      </w:pPr>
      <w:r w:rsidRPr="002815F5">
        <w:rPr>
          <w:b/>
          <w:bCs/>
          <w:color w:val="1F497D"/>
          <w:sz w:val="28"/>
          <w:szCs w:val="28"/>
          <w:u w:val="single"/>
        </w:rPr>
        <w:t>A CONCISE REVIEW OF INFLATION IN AFGHANISTAN</w:t>
      </w:r>
    </w:p>
    <w:p w:rsidR="004C2D60" w:rsidRPr="00F74A03" w:rsidRDefault="004C2D60" w:rsidP="004C2D60">
      <w:pPr>
        <w:tabs>
          <w:tab w:val="left" w:pos="2880"/>
        </w:tabs>
        <w:spacing w:before="120" w:after="120" w:line="360" w:lineRule="atLeast"/>
        <w:jc w:val="both"/>
        <w:rPr>
          <w:rFonts w:cs="Cambria"/>
        </w:rPr>
      </w:pPr>
      <w:r w:rsidRPr="00F74A03">
        <w:rPr>
          <w:rFonts w:cs="Cambria"/>
        </w:rPr>
        <w:lastRenderedPageBreak/>
        <w:t xml:space="preserve">From a long run perspective, the inflationary prospects can only be favorable, controllable and manageable by the central bank if the economic policies, strategies and plans could lead and result to reduction of the gap of production and dependency level of the local markets to imported goods. In addition, regarding the factors of inflation in Afghanistan, currently there are a number of factors in the country that play role in unfavorable price movements. The main driver of inflation in Afghanistan is imported inflation from the major trading partners of the country such as Pakistan and Iran. As mentioned above, the country is deeply dependent on importing consuming goods from abroad, thus the inflation of these countries directly affects the inflationary prospects in Afghanistan. </w:t>
      </w:r>
    </w:p>
    <w:p w:rsidR="00E01D82" w:rsidRPr="00055175" w:rsidRDefault="004C2D60" w:rsidP="004C2D60">
      <w:pPr>
        <w:pStyle w:val="ListParagraph"/>
        <w:spacing w:before="120" w:after="120" w:line="360" w:lineRule="atLeast"/>
        <w:ind w:left="0"/>
        <w:jc w:val="both"/>
        <w:rPr>
          <w:b/>
          <w:bCs/>
          <w:i/>
          <w:iCs/>
          <w:color w:val="1F497D"/>
          <w:sz w:val="28"/>
          <w:szCs w:val="28"/>
          <w:u w:val="single"/>
        </w:rPr>
        <w:sectPr w:rsidR="00E01D82" w:rsidRPr="00055175" w:rsidSect="00F43477">
          <w:pgSz w:w="12240" w:h="15840"/>
          <w:pgMar w:top="1440" w:right="1440" w:bottom="1440" w:left="1440" w:header="720" w:footer="720" w:gutter="0"/>
          <w:pgNumType w:fmt="lowerRoman" w:start="1"/>
          <w:cols w:space="432"/>
          <w:docGrid w:linePitch="360"/>
        </w:sectPr>
      </w:pPr>
      <w:r w:rsidRPr="00F74A03">
        <w:rPr>
          <w:rFonts w:cs="Cambria"/>
        </w:rPr>
        <w:t>Low level of production in the country, high level of dollarization, non-existence of a proper transportation system inside the country, cross border issue</w:t>
      </w:r>
      <w:r>
        <w:rPr>
          <w:rFonts w:cs="Cambria"/>
        </w:rPr>
        <w:t>s</w:t>
      </w:r>
      <w:r w:rsidRPr="00F74A03">
        <w:rPr>
          <w:rFonts w:cs="Cambria"/>
        </w:rPr>
        <w:t xml:space="preserve"> in transportation of goods and services through Pakistan and Iran, imperfect competition, existence of monopoly in the market, political and economic instability, and future uncertainty are the major contributors to the fluctuation in prices in the country. Beside those obstacles, the M</w:t>
      </w:r>
      <w:r>
        <w:rPr>
          <w:rFonts w:cs="Cambria"/>
        </w:rPr>
        <w:t xml:space="preserve">onetary </w:t>
      </w:r>
      <w:r w:rsidRPr="00F74A03">
        <w:rPr>
          <w:rFonts w:cs="Cambria"/>
        </w:rPr>
        <w:t>P</w:t>
      </w:r>
      <w:r>
        <w:rPr>
          <w:rFonts w:cs="Cambria"/>
        </w:rPr>
        <w:t xml:space="preserve">olicy </w:t>
      </w:r>
      <w:r w:rsidRPr="00F74A03">
        <w:rPr>
          <w:rFonts w:cs="Cambria"/>
        </w:rPr>
        <w:t>D</w:t>
      </w:r>
      <w:r>
        <w:rPr>
          <w:rFonts w:cs="Cambria"/>
        </w:rPr>
        <w:t>epartment</w:t>
      </w:r>
      <w:r w:rsidRPr="00F74A03">
        <w:rPr>
          <w:rFonts w:cs="Cambria"/>
        </w:rPr>
        <w:t xml:space="preserve"> has successfully maintained the inflation rate in a single digit and the inflation rate is still at a moderate level.</w:t>
      </w:r>
    </w:p>
    <w:p w:rsidR="00F551B2" w:rsidRDefault="00F551B2" w:rsidP="002815F5">
      <w:pPr>
        <w:pStyle w:val="Heading1"/>
      </w:pPr>
      <w:bookmarkStart w:id="3" w:name="_Toc91670356"/>
      <w:r w:rsidRPr="00F74A03">
        <w:lastRenderedPageBreak/>
        <w:t>KEY POINTS</w:t>
      </w:r>
      <w:bookmarkEnd w:id="3"/>
    </w:p>
    <w:p w:rsidR="00F551B2" w:rsidRPr="00F74A03" w:rsidRDefault="00F551B2" w:rsidP="00F551B2">
      <w:pPr>
        <w:pStyle w:val="ListParagraph"/>
        <w:spacing w:before="120" w:after="120" w:line="360" w:lineRule="atLeast"/>
        <w:jc w:val="both"/>
        <w:rPr>
          <w:b/>
          <w:bCs/>
          <w:i/>
          <w:iCs/>
          <w:color w:val="1F497D"/>
          <w:sz w:val="28"/>
          <w:szCs w:val="28"/>
          <w:u w:val="single"/>
        </w:rPr>
      </w:pPr>
    </w:p>
    <w:p w:rsidR="00F551B2" w:rsidRPr="002772EE" w:rsidRDefault="00F551B2" w:rsidP="00F551B2">
      <w:pPr>
        <w:pStyle w:val="ListParagraph"/>
        <w:numPr>
          <w:ilvl w:val="0"/>
          <w:numId w:val="2"/>
        </w:numPr>
        <w:spacing w:before="120" w:after="120" w:line="360" w:lineRule="atLeast"/>
        <w:jc w:val="both"/>
      </w:pPr>
      <w:r>
        <w:t>H</w:t>
      </w:r>
      <w:r w:rsidRPr="002772EE">
        <w:t xml:space="preserve">eadline inflation </w:t>
      </w:r>
      <w:r>
        <w:t>decreased</w:t>
      </w:r>
      <w:r w:rsidRPr="002772EE">
        <w:t xml:space="preserve"> in the month of</w:t>
      </w:r>
      <w:r>
        <w:t xml:space="preserve"> July 2020 year over year basis</w:t>
      </w:r>
      <w:r w:rsidRPr="002772EE">
        <w:t xml:space="preserve">. The year over year inflation </w:t>
      </w:r>
      <w:r>
        <w:t>de</w:t>
      </w:r>
      <w:r w:rsidRPr="002772EE">
        <w:t xml:space="preserve">creased to </w:t>
      </w:r>
      <w:r>
        <w:t>6.33 percent in July from 6.36</w:t>
      </w:r>
      <w:r w:rsidRPr="002772EE">
        <w:t xml:space="preserve"> percent observed in the previous month. This </w:t>
      </w:r>
      <w:r>
        <w:t>de</w:t>
      </w:r>
      <w:r w:rsidRPr="002772EE">
        <w:t xml:space="preserve">crease </w:t>
      </w:r>
      <w:r>
        <w:t>is caused</w:t>
      </w:r>
      <w:r w:rsidRPr="002772EE">
        <w:t xml:space="preserve"> by </w:t>
      </w:r>
      <w:r>
        <w:t xml:space="preserve">lower prices of food and beverages items, while </w:t>
      </w:r>
      <w:r w:rsidR="00CD127D">
        <w:t>nonfood</w:t>
      </w:r>
      <w:r>
        <w:t xml:space="preserve"> items increased during the period.</w:t>
      </w:r>
    </w:p>
    <w:p w:rsidR="00F551B2" w:rsidRPr="002772EE" w:rsidRDefault="00F551B2" w:rsidP="00F551B2">
      <w:pPr>
        <w:pStyle w:val="ListParagraph"/>
        <w:numPr>
          <w:ilvl w:val="0"/>
          <w:numId w:val="2"/>
        </w:numPr>
        <w:spacing w:before="120" w:after="120" w:line="360" w:lineRule="atLeast"/>
        <w:jc w:val="both"/>
      </w:pPr>
      <w:r w:rsidRPr="002772EE">
        <w:t xml:space="preserve">Food index which accounts for around 48 percent of the whole CPI </w:t>
      </w:r>
      <w:r>
        <w:t>de</w:t>
      </w:r>
      <w:r w:rsidRPr="002772EE">
        <w:t>creased to</w:t>
      </w:r>
      <w:r>
        <w:t xml:space="preserve"> 12.71</w:t>
      </w:r>
      <w:r w:rsidRPr="002772EE">
        <w:t xml:space="preserve"> percent from </w:t>
      </w:r>
      <w:r>
        <w:t xml:space="preserve">12.88 </w:t>
      </w:r>
      <w:r w:rsidRPr="002772EE">
        <w:t xml:space="preserve">percent. In the meantime, non-food category which comprises about 52 percent of the overall index </w:t>
      </w:r>
      <w:r>
        <w:t>increased</w:t>
      </w:r>
      <w:r w:rsidRPr="002772EE">
        <w:t xml:space="preserve"> to </w:t>
      </w:r>
      <w:r>
        <w:t xml:space="preserve">0.31 </w:t>
      </w:r>
      <w:r w:rsidRPr="002772EE">
        <w:t xml:space="preserve">percent from </w:t>
      </w:r>
      <w:r>
        <w:t xml:space="preserve">0.13 </w:t>
      </w:r>
      <w:r w:rsidRPr="002772EE">
        <w:t>percent.</w:t>
      </w:r>
    </w:p>
    <w:p w:rsidR="00F551B2" w:rsidRPr="002772EE" w:rsidRDefault="00F551B2" w:rsidP="00F551B2">
      <w:pPr>
        <w:pStyle w:val="ListParagraph"/>
        <w:numPr>
          <w:ilvl w:val="0"/>
          <w:numId w:val="2"/>
        </w:numPr>
        <w:spacing w:before="120" w:after="120" w:line="360" w:lineRule="atLeast"/>
        <w:jc w:val="both"/>
      </w:pPr>
      <w:r w:rsidRPr="002772EE">
        <w:t xml:space="preserve">Core inflation when measured based on 30% trimmed mean </w:t>
      </w:r>
      <w:r>
        <w:t>decreased</w:t>
      </w:r>
      <w:r w:rsidRPr="002772EE">
        <w:t xml:space="preserve"> to </w:t>
      </w:r>
      <w:r>
        <w:t>5.28</w:t>
      </w:r>
      <w:r w:rsidRPr="002772EE">
        <w:t xml:space="preserve"> percent from </w:t>
      </w:r>
      <w:r>
        <w:t xml:space="preserve">5.99 </w:t>
      </w:r>
      <w:r w:rsidRPr="002772EE">
        <w:t>percent.</w:t>
      </w:r>
    </w:p>
    <w:p w:rsidR="00F551B2" w:rsidRPr="004A1843" w:rsidRDefault="00F551B2" w:rsidP="007A13F5">
      <w:pPr>
        <w:pStyle w:val="ListParagraph"/>
        <w:numPr>
          <w:ilvl w:val="0"/>
          <w:numId w:val="2"/>
        </w:numPr>
        <w:spacing w:before="120" w:after="120" w:line="360" w:lineRule="atLeast"/>
        <w:jc w:val="both"/>
      </w:pPr>
      <w:r w:rsidRPr="004A1843">
        <w:t xml:space="preserve">Considering price changes in the short-term (month-to-month), headline </w:t>
      </w:r>
      <w:r>
        <w:t>inflation de</w:t>
      </w:r>
      <w:r w:rsidRPr="004A1843">
        <w:t>creased to</w:t>
      </w:r>
      <w:r>
        <w:t xml:space="preserve"> -1.11</w:t>
      </w:r>
      <w:r w:rsidRPr="004A1843">
        <w:t xml:space="preserve"> percent from </w:t>
      </w:r>
      <w:r>
        <w:t>-0.81</w:t>
      </w:r>
      <w:r w:rsidRPr="004A1843">
        <w:t xml:space="preserve"> percent. Based on th</w:t>
      </w:r>
      <w:r w:rsidR="007A13F5">
        <w:t>is measure, food items increased</w:t>
      </w:r>
      <w:r w:rsidRPr="004A1843">
        <w:t xml:space="preserve"> to </w:t>
      </w:r>
      <w:r>
        <w:t xml:space="preserve">-1.81 </w:t>
      </w:r>
      <w:r w:rsidRPr="004A1843">
        <w:t xml:space="preserve">percent from </w:t>
      </w:r>
      <w:r>
        <w:t xml:space="preserve">-1.87 </w:t>
      </w:r>
      <w:r w:rsidRPr="004A1843">
        <w:t xml:space="preserve">percent and non-food items </w:t>
      </w:r>
      <w:r w:rsidR="007A13F5">
        <w:t>decreased</w:t>
      </w:r>
      <w:r w:rsidRPr="004A1843">
        <w:t xml:space="preserve"> to </w:t>
      </w:r>
      <w:r>
        <w:t>-</w:t>
      </w:r>
      <w:r w:rsidRPr="004A1843">
        <w:t xml:space="preserve">0.35 percent from </w:t>
      </w:r>
      <w:r>
        <w:t>0.35</w:t>
      </w:r>
      <w:r w:rsidRPr="004A1843">
        <w:t xml:space="preserve"> percent.</w:t>
      </w:r>
    </w:p>
    <w:p w:rsidR="00F551B2" w:rsidRPr="000D2F8F" w:rsidRDefault="00F551B2" w:rsidP="000D2F8F">
      <w:pPr>
        <w:pStyle w:val="ListParagraph"/>
        <w:numPr>
          <w:ilvl w:val="0"/>
          <w:numId w:val="2"/>
        </w:numPr>
        <w:spacing w:before="120" w:after="120" w:line="360" w:lineRule="atLeast"/>
        <w:jc w:val="both"/>
      </w:pPr>
      <w:r w:rsidRPr="00373309">
        <w:t>Based on Kabul CPI, head</w:t>
      </w:r>
      <w:r w:rsidR="003A179D">
        <w:t xml:space="preserve">line inflation </w:t>
      </w:r>
      <w:r w:rsidR="000D2F8F">
        <w:t>in</w:t>
      </w:r>
      <w:r w:rsidRPr="00373309">
        <w:t xml:space="preserve">creased to </w:t>
      </w:r>
      <w:r w:rsidR="003A179D">
        <w:t>4.</w:t>
      </w:r>
      <w:r w:rsidR="000D2F8F">
        <w:t>69</w:t>
      </w:r>
      <w:r w:rsidRPr="000D2F8F">
        <w:t>percent</w:t>
      </w:r>
      <w:r w:rsidRPr="00373309">
        <w:t xml:space="preserve"> from </w:t>
      </w:r>
      <w:r w:rsidR="003A179D">
        <w:t>4.</w:t>
      </w:r>
      <w:r w:rsidR="000D2F8F">
        <w:t>47</w:t>
      </w:r>
      <w:r w:rsidRPr="00373309">
        <w:t xml:space="preserve"> percent. Food prices exhibited higherrate and non-food items </w:t>
      </w:r>
      <w:r>
        <w:t>de</w:t>
      </w:r>
      <w:r w:rsidRPr="00373309">
        <w:t xml:space="preserve">creased in the capital Kabul, relatively food items increased to </w:t>
      </w:r>
      <w:r>
        <w:t>9.99</w:t>
      </w:r>
      <w:r w:rsidRPr="00A44439">
        <w:t>percent from 8.67 percent and non-food</w:t>
      </w:r>
      <w:r w:rsidR="003A179D" w:rsidRPr="00A44439">
        <w:t xml:space="preserve"> category decreased to </w:t>
      </w:r>
      <w:r w:rsidR="000D2F8F" w:rsidRPr="00A44439">
        <w:t>1.30</w:t>
      </w:r>
      <w:r w:rsidR="003B0E3E" w:rsidRPr="00A44439">
        <w:t xml:space="preserve"> percent</w:t>
      </w:r>
      <w:r w:rsidR="003A179D" w:rsidRPr="00A44439">
        <w:t xml:space="preserve"> from 1.</w:t>
      </w:r>
      <w:r w:rsidR="000D2F8F" w:rsidRPr="00A44439">
        <w:t>74</w:t>
      </w:r>
      <w:r w:rsidRPr="00A44439">
        <w:t xml:space="preserve"> percent in the period under review.</w:t>
      </w:r>
    </w:p>
    <w:p w:rsidR="00435F0D" w:rsidRPr="00F92DB8" w:rsidRDefault="00435F0D" w:rsidP="00435F0D">
      <w:pPr>
        <w:spacing w:before="120" w:after="120" w:line="360" w:lineRule="atLeast"/>
        <w:jc w:val="both"/>
      </w:pPr>
    </w:p>
    <w:tbl>
      <w:tblPr>
        <w:tblW w:w="8520" w:type="dxa"/>
        <w:jc w:val="center"/>
        <w:tblLook w:val="04A0"/>
      </w:tblPr>
      <w:tblGrid>
        <w:gridCol w:w="1158"/>
        <w:gridCol w:w="2465"/>
        <w:gridCol w:w="1288"/>
        <w:gridCol w:w="1159"/>
        <w:gridCol w:w="1291"/>
        <w:gridCol w:w="1159"/>
      </w:tblGrid>
      <w:tr w:rsidR="00EF72ED" w:rsidRPr="00F74A03" w:rsidTr="00F74A03">
        <w:trPr>
          <w:trHeight w:val="289"/>
          <w:jc w:val="center"/>
        </w:trPr>
        <w:tc>
          <w:tcPr>
            <w:tcW w:w="8520" w:type="dxa"/>
            <w:gridSpan w:val="6"/>
            <w:tcBorders>
              <w:top w:val="nil"/>
            </w:tcBorders>
            <w:shd w:val="clear" w:color="auto" w:fill="FFFFFF"/>
            <w:noWrap/>
            <w:vAlign w:val="center"/>
            <w:hideMark/>
          </w:tcPr>
          <w:p w:rsidR="00EF72ED" w:rsidRPr="002B2D32" w:rsidRDefault="00EF72ED" w:rsidP="00161A1D">
            <w:pPr>
              <w:spacing w:after="0" w:line="240" w:lineRule="auto"/>
              <w:rPr>
                <w:rFonts w:eastAsia="Times New Roman" w:cs="Times New Roman"/>
                <w:b/>
                <w:bCs/>
                <w:color w:val="000000"/>
                <w:sz w:val="24"/>
                <w:szCs w:val="24"/>
              </w:rPr>
            </w:pPr>
            <w:r w:rsidRPr="002F6225">
              <w:rPr>
                <w:rFonts w:eastAsia="Times New Roman" w:cs="Times New Roman"/>
                <w:b/>
                <w:bCs/>
                <w:color w:val="1F497D"/>
              </w:rPr>
              <w:t xml:space="preserve">Table 1. Headline Inflation </w:t>
            </w:r>
            <w:r w:rsidRPr="00B6688F">
              <w:rPr>
                <w:rFonts w:eastAsia="Times New Roman" w:cs="Times New Roman"/>
                <w:b/>
                <w:bCs/>
                <w:color w:val="1F497D"/>
              </w:rPr>
              <w:t>(</w:t>
            </w:r>
            <w:r w:rsidR="00161A1D">
              <w:rPr>
                <w:rFonts w:eastAsia="Times New Roman" w:cs="Times New Roman"/>
                <w:b/>
                <w:bCs/>
                <w:color w:val="1F497D"/>
              </w:rPr>
              <w:t xml:space="preserve">June 20- July </w:t>
            </w:r>
            <w:r w:rsidR="00167720">
              <w:rPr>
                <w:rFonts w:eastAsia="Times New Roman" w:cs="Times New Roman"/>
                <w:b/>
                <w:bCs/>
                <w:color w:val="1F497D"/>
              </w:rPr>
              <w:t>20</w:t>
            </w:r>
            <w:r w:rsidRPr="00B6688F">
              <w:rPr>
                <w:rFonts w:eastAsia="Times New Roman" w:cs="Times New Roman"/>
                <w:b/>
                <w:bCs/>
                <w:color w:val="1F497D"/>
              </w:rPr>
              <w:t xml:space="preserve">) </w:t>
            </w:r>
          </w:p>
        </w:tc>
      </w:tr>
      <w:tr w:rsidR="00161A1D" w:rsidRPr="00F74A03" w:rsidTr="00F74A03">
        <w:trPr>
          <w:trHeight w:val="122"/>
          <w:jc w:val="center"/>
        </w:trPr>
        <w:tc>
          <w:tcPr>
            <w:tcW w:w="3623" w:type="dxa"/>
            <w:gridSpan w:val="2"/>
            <w:vMerge w:val="restart"/>
            <w:tcBorders>
              <w:top w:val="nil"/>
              <w:right w:val="nil"/>
            </w:tcBorders>
            <w:shd w:val="clear" w:color="auto" w:fill="95B3D7"/>
            <w:noWrap/>
            <w:vAlign w:val="bottom"/>
            <w:hideMark/>
          </w:tcPr>
          <w:p w:rsidR="00161A1D" w:rsidRPr="00BE15CD" w:rsidRDefault="00161A1D" w:rsidP="00161A1D">
            <w:pPr>
              <w:spacing w:after="0" w:line="240" w:lineRule="auto"/>
              <w:jc w:val="center"/>
              <w:rPr>
                <w:rFonts w:ascii="Arial" w:eastAsia="Times New Roman" w:hAnsi="Arial"/>
                <w:b/>
                <w:bCs/>
                <w:color w:val="000000"/>
                <w:sz w:val="16"/>
                <w:szCs w:val="16"/>
              </w:rPr>
            </w:pPr>
            <w:r w:rsidRPr="00BE15CD">
              <w:rPr>
                <w:rFonts w:ascii="Arial" w:eastAsia="Times New Roman" w:hAnsi="Arial"/>
                <w:b/>
                <w:bCs/>
                <w:color w:val="000000"/>
                <w:sz w:val="16"/>
                <w:szCs w:val="16"/>
              </w:rPr>
              <w:t> </w:t>
            </w:r>
          </w:p>
        </w:tc>
        <w:tc>
          <w:tcPr>
            <w:tcW w:w="2447" w:type="dxa"/>
            <w:gridSpan w:val="2"/>
            <w:tcBorders>
              <w:top w:val="nil"/>
              <w:left w:val="nil"/>
              <w:right w:val="nil"/>
            </w:tcBorders>
            <w:shd w:val="clear" w:color="auto" w:fill="95B3D7"/>
            <w:noWrap/>
            <w:vAlign w:val="center"/>
            <w:hideMark/>
          </w:tcPr>
          <w:p w:rsidR="00161A1D" w:rsidRPr="00BE15CD" w:rsidRDefault="00161A1D" w:rsidP="00161A1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Y-o</w:t>
            </w:r>
            <w:r w:rsidRPr="00BE15CD">
              <w:rPr>
                <w:rFonts w:eastAsia="Times New Roman" w:cs="Times New Roman"/>
                <w:b/>
                <w:bCs/>
                <w:color w:val="000000"/>
                <w:sz w:val="20"/>
                <w:szCs w:val="20"/>
              </w:rPr>
              <w:t>-Y</w:t>
            </w:r>
          </w:p>
        </w:tc>
        <w:tc>
          <w:tcPr>
            <w:tcW w:w="2450" w:type="dxa"/>
            <w:gridSpan w:val="2"/>
            <w:tcBorders>
              <w:top w:val="nil"/>
              <w:left w:val="nil"/>
            </w:tcBorders>
            <w:shd w:val="clear" w:color="auto" w:fill="95B3D7"/>
            <w:noWrap/>
            <w:vAlign w:val="center"/>
            <w:hideMark/>
          </w:tcPr>
          <w:p w:rsidR="00161A1D" w:rsidRPr="00BE15CD" w:rsidRDefault="00161A1D" w:rsidP="00161A1D">
            <w:pPr>
              <w:spacing w:after="0" w:line="240" w:lineRule="auto"/>
              <w:jc w:val="center"/>
              <w:rPr>
                <w:rFonts w:eastAsia="Times New Roman" w:cs="Times New Roman"/>
                <w:b/>
                <w:bCs/>
                <w:color w:val="000000"/>
                <w:sz w:val="20"/>
                <w:szCs w:val="20"/>
              </w:rPr>
            </w:pPr>
            <w:r w:rsidRPr="00BE15CD">
              <w:rPr>
                <w:rFonts w:eastAsia="Times New Roman" w:cs="Times New Roman"/>
                <w:b/>
                <w:bCs/>
                <w:color w:val="000000"/>
                <w:sz w:val="20"/>
                <w:szCs w:val="20"/>
              </w:rPr>
              <w:t>M-to-M</w:t>
            </w:r>
          </w:p>
        </w:tc>
      </w:tr>
      <w:tr w:rsidR="00161A1D" w:rsidRPr="00F74A03" w:rsidTr="00F74A03">
        <w:trPr>
          <w:trHeight w:val="148"/>
          <w:jc w:val="center"/>
        </w:trPr>
        <w:tc>
          <w:tcPr>
            <w:tcW w:w="3623" w:type="dxa"/>
            <w:gridSpan w:val="2"/>
            <w:vMerge/>
            <w:tcBorders>
              <w:bottom w:val="single" w:sz="4" w:space="0" w:color="000000"/>
              <w:right w:val="nil"/>
            </w:tcBorders>
            <w:shd w:val="clear" w:color="auto" w:fill="95B3D7"/>
            <w:vAlign w:val="center"/>
            <w:hideMark/>
          </w:tcPr>
          <w:p w:rsidR="00161A1D" w:rsidRPr="00BE15CD" w:rsidRDefault="00161A1D" w:rsidP="00161A1D">
            <w:pPr>
              <w:spacing w:after="0" w:line="240" w:lineRule="auto"/>
              <w:rPr>
                <w:rFonts w:ascii="Arial" w:eastAsia="Times New Roman" w:hAnsi="Arial"/>
                <w:b/>
                <w:bCs/>
                <w:color w:val="000000"/>
                <w:sz w:val="16"/>
                <w:szCs w:val="16"/>
              </w:rPr>
            </w:pPr>
          </w:p>
        </w:tc>
        <w:tc>
          <w:tcPr>
            <w:tcW w:w="1288" w:type="dxa"/>
            <w:tcBorders>
              <w:left w:val="nil"/>
              <w:bottom w:val="single" w:sz="4" w:space="0" w:color="auto"/>
              <w:right w:val="nil"/>
            </w:tcBorders>
            <w:shd w:val="clear" w:color="auto" w:fill="95B3D7"/>
            <w:noWrap/>
            <w:vAlign w:val="center"/>
            <w:hideMark/>
          </w:tcPr>
          <w:p w:rsidR="00161A1D" w:rsidRPr="00B6688F" w:rsidRDefault="00161A1D" w:rsidP="00161A1D">
            <w:pPr>
              <w:spacing w:after="0" w:line="240" w:lineRule="auto"/>
              <w:jc w:val="center"/>
              <w:rPr>
                <w:rFonts w:eastAsia="Times New Roman" w:cs="Times New Roman"/>
                <w:b/>
                <w:bCs/>
                <w:sz w:val="20"/>
                <w:szCs w:val="20"/>
              </w:rPr>
            </w:pPr>
            <w:r>
              <w:rPr>
                <w:rFonts w:eastAsia="Times New Roman" w:cs="Times New Roman"/>
                <w:b/>
                <w:bCs/>
                <w:sz w:val="20"/>
                <w:szCs w:val="20"/>
              </w:rPr>
              <w:t xml:space="preserve">June </w:t>
            </w:r>
          </w:p>
        </w:tc>
        <w:tc>
          <w:tcPr>
            <w:tcW w:w="1159" w:type="dxa"/>
            <w:tcBorders>
              <w:left w:val="nil"/>
              <w:bottom w:val="single" w:sz="4" w:space="0" w:color="auto"/>
              <w:right w:val="nil"/>
            </w:tcBorders>
            <w:shd w:val="clear" w:color="auto" w:fill="95B3D7"/>
            <w:noWrap/>
            <w:vAlign w:val="center"/>
            <w:hideMark/>
          </w:tcPr>
          <w:p w:rsidR="00161A1D" w:rsidRPr="00B6688F" w:rsidRDefault="00161A1D" w:rsidP="00161A1D">
            <w:pPr>
              <w:spacing w:after="0" w:line="240" w:lineRule="auto"/>
              <w:jc w:val="center"/>
              <w:rPr>
                <w:rFonts w:eastAsia="Times New Roman" w:cs="Times New Roman"/>
                <w:b/>
                <w:bCs/>
                <w:sz w:val="20"/>
                <w:szCs w:val="20"/>
              </w:rPr>
            </w:pPr>
            <w:r>
              <w:rPr>
                <w:rFonts w:eastAsia="Times New Roman" w:cs="Times New Roman"/>
                <w:b/>
                <w:bCs/>
                <w:sz w:val="20"/>
                <w:szCs w:val="20"/>
              </w:rPr>
              <w:t>July</w:t>
            </w:r>
          </w:p>
        </w:tc>
        <w:tc>
          <w:tcPr>
            <w:tcW w:w="1291" w:type="dxa"/>
            <w:tcBorders>
              <w:left w:val="nil"/>
              <w:bottom w:val="single" w:sz="4" w:space="0" w:color="auto"/>
              <w:right w:val="nil"/>
            </w:tcBorders>
            <w:shd w:val="clear" w:color="auto" w:fill="95B3D7"/>
            <w:noWrap/>
            <w:vAlign w:val="center"/>
            <w:hideMark/>
          </w:tcPr>
          <w:p w:rsidR="00161A1D" w:rsidRPr="00B6688F" w:rsidRDefault="00161A1D" w:rsidP="00161A1D">
            <w:pPr>
              <w:spacing w:after="0" w:line="240" w:lineRule="auto"/>
              <w:jc w:val="center"/>
              <w:rPr>
                <w:rFonts w:eastAsia="Times New Roman" w:cs="Times New Roman"/>
                <w:b/>
                <w:bCs/>
                <w:sz w:val="20"/>
                <w:szCs w:val="20"/>
              </w:rPr>
            </w:pPr>
            <w:r>
              <w:rPr>
                <w:rFonts w:eastAsia="Times New Roman" w:cs="Times New Roman"/>
                <w:b/>
                <w:bCs/>
                <w:sz w:val="20"/>
                <w:szCs w:val="20"/>
              </w:rPr>
              <w:t xml:space="preserve">June </w:t>
            </w:r>
          </w:p>
        </w:tc>
        <w:tc>
          <w:tcPr>
            <w:tcW w:w="1159" w:type="dxa"/>
            <w:tcBorders>
              <w:left w:val="nil"/>
              <w:bottom w:val="single" w:sz="4" w:space="0" w:color="auto"/>
            </w:tcBorders>
            <w:shd w:val="clear" w:color="auto" w:fill="95B3D7"/>
            <w:noWrap/>
            <w:vAlign w:val="center"/>
            <w:hideMark/>
          </w:tcPr>
          <w:p w:rsidR="00161A1D" w:rsidRPr="00B6688F" w:rsidRDefault="00161A1D" w:rsidP="00161A1D">
            <w:pPr>
              <w:spacing w:after="0" w:line="240" w:lineRule="auto"/>
              <w:jc w:val="center"/>
              <w:rPr>
                <w:rFonts w:eastAsia="Times New Roman" w:cs="Times New Roman"/>
                <w:b/>
                <w:bCs/>
                <w:sz w:val="20"/>
                <w:szCs w:val="20"/>
              </w:rPr>
            </w:pPr>
            <w:r>
              <w:rPr>
                <w:rFonts w:eastAsia="Times New Roman" w:cs="Times New Roman"/>
                <w:b/>
                <w:bCs/>
                <w:sz w:val="20"/>
                <w:szCs w:val="20"/>
              </w:rPr>
              <w:t>July</w:t>
            </w:r>
          </w:p>
        </w:tc>
      </w:tr>
      <w:tr w:rsidR="00161A1D" w:rsidRPr="00F74A03" w:rsidTr="00F74A03">
        <w:trPr>
          <w:trHeight w:val="320"/>
          <w:jc w:val="center"/>
        </w:trPr>
        <w:tc>
          <w:tcPr>
            <w:tcW w:w="3623" w:type="dxa"/>
            <w:gridSpan w:val="2"/>
            <w:tcBorders>
              <w:top w:val="single" w:sz="4" w:space="0" w:color="auto"/>
              <w:left w:val="single" w:sz="4" w:space="0" w:color="auto"/>
              <w:bottom w:val="nil"/>
              <w:right w:val="nil"/>
            </w:tcBorders>
            <w:shd w:val="clear" w:color="auto" w:fill="DBE5F1"/>
            <w:vAlign w:val="center"/>
            <w:hideMark/>
          </w:tcPr>
          <w:p w:rsidR="00161A1D" w:rsidRPr="005264EA" w:rsidRDefault="00161A1D" w:rsidP="00161A1D">
            <w:pPr>
              <w:spacing w:after="0" w:line="240" w:lineRule="auto"/>
              <w:rPr>
                <w:rFonts w:eastAsia="Times New Roman" w:cs="Times New Roman"/>
                <w:b/>
                <w:bCs/>
                <w:color w:val="0070C0"/>
              </w:rPr>
            </w:pPr>
            <w:r w:rsidRPr="005264EA">
              <w:rPr>
                <w:rFonts w:eastAsia="Times New Roman" w:cs="Times New Roman"/>
                <w:b/>
                <w:bCs/>
                <w:color w:val="0070C0"/>
              </w:rPr>
              <w:t>National CPI</w:t>
            </w:r>
          </w:p>
        </w:tc>
        <w:tc>
          <w:tcPr>
            <w:tcW w:w="1288" w:type="dxa"/>
            <w:tcBorders>
              <w:top w:val="single" w:sz="4" w:space="0" w:color="auto"/>
              <w:left w:val="nil"/>
              <w:bottom w:val="nil"/>
              <w:right w:val="nil"/>
            </w:tcBorders>
            <w:shd w:val="clear" w:color="auto" w:fill="DBE5F1"/>
            <w:noWrap/>
            <w:vAlign w:val="center"/>
            <w:hideMark/>
          </w:tcPr>
          <w:p w:rsidR="00161A1D" w:rsidRPr="00B6688F" w:rsidRDefault="00161A1D" w:rsidP="00161A1D">
            <w:pPr>
              <w:spacing w:after="0" w:line="240" w:lineRule="auto"/>
              <w:jc w:val="center"/>
              <w:rPr>
                <w:rFonts w:eastAsia="Times New Roman" w:cs="Times New Roman"/>
                <w:sz w:val="18"/>
                <w:szCs w:val="18"/>
              </w:rPr>
            </w:pPr>
          </w:p>
        </w:tc>
        <w:tc>
          <w:tcPr>
            <w:tcW w:w="1159" w:type="dxa"/>
            <w:tcBorders>
              <w:top w:val="single" w:sz="4" w:space="0" w:color="auto"/>
              <w:left w:val="nil"/>
              <w:bottom w:val="nil"/>
              <w:right w:val="nil"/>
            </w:tcBorders>
            <w:shd w:val="clear" w:color="auto" w:fill="DBE5F1"/>
            <w:noWrap/>
            <w:vAlign w:val="center"/>
            <w:hideMark/>
          </w:tcPr>
          <w:p w:rsidR="00161A1D" w:rsidRPr="00B6688F" w:rsidRDefault="00161A1D" w:rsidP="00161A1D">
            <w:pPr>
              <w:spacing w:after="0" w:line="240" w:lineRule="auto"/>
              <w:jc w:val="center"/>
              <w:rPr>
                <w:rFonts w:eastAsia="Times New Roman" w:cs="Times New Roman"/>
                <w:sz w:val="18"/>
                <w:szCs w:val="18"/>
              </w:rPr>
            </w:pPr>
          </w:p>
        </w:tc>
        <w:tc>
          <w:tcPr>
            <w:tcW w:w="1291" w:type="dxa"/>
            <w:tcBorders>
              <w:top w:val="single" w:sz="4" w:space="0" w:color="auto"/>
              <w:left w:val="nil"/>
              <w:bottom w:val="nil"/>
              <w:right w:val="nil"/>
            </w:tcBorders>
            <w:shd w:val="clear" w:color="auto" w:fill="DBE5F1"/>
            <w:noWrap/>
            <w:vAlign w:val="center"/>
            <w:hideMark/>
          </w:tcPr>
          <w:p w:rsidR="00161A1D" w:rsidRPr="00B6688F" w:rsidRDefault="00161A1D" w:rsidP="00161A1D">
            <w:pPr>
              <w:spacing w:after="0" w:line="240" w:lineRule="auto"/>
              <w:jc w:val="center"/>
              <w:rPr>
                <w:rFonts w:eastAsia="Times New Roman" w:cs="Times New Roman"/>
                <w:sz w:val="18"/>
                <w:szCs w:val="18"/>
              </w:rPr>
            </w:pPr>
          </w:p>
        </w:tc>
        <w:tc>
          <w:tcPr>
            <w:tcW w:w="1159" w:type="dxa"/>
            <w:tcBorders>
              <w:top w:val="single" w:sz="4" w:space="0" w:color="auto"/>
              <w:left w:val="nil"/>
              <w:bottom w:val="nil"/>
              <w:right w:val="single" w:sz="4" w:space="0" w:color="auto"/>
            </w:tcBorders>
            <w:shd w:val="clear" w:color="auto" w:fill="DBE5F1"/>
            <w:noWrap/>
            <w:vAlign w:val="center"/>
            <w:hideMark/>
          </w:tcPr>
          <w:p w:rsidR="00161A1D" w:rsidRPr="00B6688F" w:rsidRDefault="00161A1D" w:rsidP="00161A1D">
            <w:pPr>
              <w:spacing w:after="0" w:line="240" w:lineRule="auto"/>
              <w:jc w:val="center"/>
              <w:rPr>
                <w:rFonts w:eastAsia="Times New Roman" w:cs="Times New Roman"/>
                <w:sz w:val="18"/>
                <w:szCs w:val="18"/>
              </w:rPr>
            </w:pPr>
          </w:p>
        </w:tc>
      </w:tr>
      <w:tr w:rsidR="00161A1D" w:rsidRPr="00F74A03" w:rsidTr="00092B8A">
        <w:trPr>
          <w:trHeight w:val="320"/>
          <w:jc w:val="center"/>
        </w:trPr>
        <w:tc>
          <w:tcPr>
            <w:tcW w:w="3623" w:type="dxa"/>
            <w:gridSpan w:val="2"/>
            <w:tcBorders>
              <w:top w:val="single" w:sz="4" w:space="0" w:color="auto"/>
              <w:left w:val="single" w:sz="4" w:space="0" w:color="auto"/>
              <w:bottom w:val="nil"/>
              <w:right w:val="nil"/>
            </w:tcBorders>
            <w:shd w:val="clear" w:color="000000" w:fill="FFFFFF"/>
            <w:vAlign w:val="center"/>
            <w:hideMark/>
          </w:tcPr>
          <w:p w:rsidR="00161A1D" w:rsidRPr="00BE15CD" w:rsidRDefault="00161A1D" w:rsidP="00161A1D">
            <w:pPr>
              <w:spacing w:after="0" w:line="240" w:lineRule="auto"/>
              <w:rPr>
                <w:rFonts w:ascii="Arial" w:eastAsia="Times New Roman" w:hAnsi="Arial"/>
                <w:b/>
                <w:bCs/>
                <w:color w:val="000000"/>
                <w:sz w:val="18"/>
                <w:szCs w:val="18"/>
              </w:rPr>
            </w:pPr>
            <w:r>
              <w:rPr>
                <w:rFonts w:eastAsia="Times New Roman" w:cs="Times New Roman"/>
                <w:b/>
                <w:bCs/>
                <w:color w:val="000000"/>
              </w:rPr>
              <w:t>Headline</w:t>
            </w:r>
          </w:p>
        </w:tc>
        <w:tc>
          <w:tcPr>
            <w:tcW w:w="1288" w:type="dxa"/>
            <w:tcBorders>
              <w:top w:val="single" w:sz="4" w:space="0" w:color="auto"/>
              <w:left w:val="nil"/>
              <w:bottom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6.36</w:t>
            </w:r>
          </w:p>
        </w:tc>
        <w:tc>
          <w:tcPr>
            <w:tcW w:w="1159" w:type="dxa"/>
            <w:tcBorders>
              <w:top w:val="single" w:sz="4" w:space="0" w:color="auto"/>
              <w:left w:val="nil"/>
              <w:bottom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6.33</w:t>
            </w:r>
          </w:p>
        </w:tc>
        <w:tc>
          <w:tcPr>
            <w:tcW w:w="1291" w:type="dxa"/>
            <w:tcBorders>
              <w:top w:val="single" w:sz="4" w:space="0" w:color="auto"/>
              <w:left w:val="nil"/>
              <w:bottom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-0.81</w:t>
            </w:r>
          </w:p>
        </w:tc>
        <w:tc>
          <w:tcPr>
            <w:tcW w:w="1159" w:type="dxa"/>
            <w:tcBorders>
              <w:top w:val="single" w:sz="4" w:space="0" w:color="auto"/>
              <w:left w:val="nil"/>
              <w:bottom w:val="nil"/>
              <w:right w:val="single" w:sz="4" w:space="0" w:color="auto"/>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-1.11</w:t>
            </w:r>
          </w:p>
        </w:tc>
      </w:tr>
      <w:tr w:rsidR="00161A1D" w:rsidRPr="00F74A03" w:rsidTr="00092B8A">
        <w:trPr>
          <w:trHeight w:val="320"/>
          <w:jc w:val="center"/>
        </w:trPr>
        <w:tc>
          <w:tcPr>
            <w:tcW w:w="3623" w:type="dxa"/>
            <w:gridSpan w:val="2"/>
            <w:tcBorders>
              <w:top w:val="nil"/>
              <w:left w:val="single" w:sz="4" w:space="0" w:color="auto"/>
              <w:right w:val="nil"/>
            </w:tcBorders>
            <w:shd w:val="clear" w:color="auto" w:fill="auto"/>
            <w:noWrap/>
            <w:vAlign w:val="bottom"/>
            <w:hideMark/>
          </w:tcPr>
          <w:p w:rsidR="00161A1D" w:rsidRPr="00BE15CD" w:rsidRDefault="00161A1D" w:rsidP="00161A1D">
            <w:pPr>
              <w:spacing w:after="0" w:line="240" w:lineRule="auto"/>
              <w:rPr>
                <w:rFonts w:eastAsia="Times New Roman" w:cs="Times New Roman"/>
                <w:i/>
                <w:iCs/>
                <w:color w:val="000000"/>
                <w:sz w:val="20"/>
                <w:szCs w:val="20"/>
              </w:rPr>
            </w:pPr>
            <w:r w:rsidRPr="00BE15CD">
              <w:rPr>
                <w:rFonts w:eastAsia="Times New Roman" w:cs="Times New Roman"/>
                <w:i/>
                <w:iCs/>
                <w:color w:val="000000"/>
                <w:sz w:val="20"/>
                <w:szCs w:val="20"/>
              </w:rPr>
              <w:t xml:space="preserve">Food </w:t>
            </w:r>
          </w:p>
        </w:tc>
        <w:tc>
          <w:tcPr>
            <w:tcW w:w="1288" w:type="dxa"/>
            <w:tcBorders>
              <w:top w:val="nil"/>
              <w:left w:val="nil"/>
              <w:right w:val="nil"/>
            </w:tcBorders>
            <w:shd w:val="clear" w:color="000000" w:fill="FFFFFF"/>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12.88</w:t>
            </w:r>
          </w:p>
        </w:tc>
        <w:tc>
          <w:tcPr>
            <w:tcW w:w="1159" w:type="dxa"/>
            <w:tcBorders>
              <w:top w:val="nil"/>
              <w:left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12.71</w:t>
            </w:r>
          </w:p>
        </w:tc>
        <w:tc>
          <w:tcPr>
            <w:tcW w:w="1291" w:type="dxa"/>
            <w:tcBorders>
              <w:top w:val="nil"/>
              <w:left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-1.87</w:t>
            </w:r>
          </w:p>
        </w:tc>
        <w:tc>
          <w:tcPr>
            <w:tcW w:w="1159" w:type="dxa"/>
            <w:tcBorders>
              <w:top w:val="nil"/>
              <w:left w:val="nil"/>
              <w:right w:val="single" w:sz="4" w:space="0" w:color="auto"/>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-1.81</w:t>
            </w:r>
          </w:p>
        </w:tc>
      </w:tr>
      <w:tr w:rsidR="00161A1D" w:rsidRPr="00F74A03" w:rsidTr="00092B8A">
        <w:trPr>
          <w:trHeight w:val="320"/>
          <w:jc w:val="center"/>
        </w:trPr>
        <w:tc>
          <w:tcPr>
            <w:tcW w:w="3623" w:type="dxa"/>
            <w:gridSpan w:val="2"/>
            <w:tcBorders>
              <w:top w:val="nil"/>
              <w:left w:val="single" w:sz="4" w:space="0" w:color="auto"/>
              <w:right w:val="nil"/>
            </w:tcBorders>
            <w:shd w:val="clear" w:color="auto" w:fill="auto"/>
            <w:noWrap/>
            <w:vAlign w:val="bottom"/>
            <w:hideMark/>
          </w:tcPr>
          <w:p w:rsidR="00161A1D" w:rsidRPr="00BE15CD" w:rsidRDefault="00161A1D" w:rsidP="00161A1D">
            <w:pPr>
              <w:spacing w:after="0" w:line="240" w:lineRule="auto"/>
              <w:rPr>
                <w:rFonts w:eastAsia="Times New Roman" w:cs="Times New Roman"/>
                <w:i/>
                <w:iCs/>
                <w:color w:val="000000"/>
                <w:sz w:val="20"/>
                <w:szCs w:val="20"/>
              </w:rPr>
            </w:pPr>
            <w:r w:rsidRPr="00BE15CD">
              <w:rPr>
                <w:rFonts w:eastAsia="Times New Roman" w:cs="Times New Roman"/>
                <w:i/>
                <w:iCs/>
                <w:color w:val="000000"/>
                <w:sz w:val="20"/>
                <w:szCs w:val="20"/>
              </w:rPr>
              <w:t>Non-Food</w:t>
            </w:r>
          </w:p>
        </w:tc>
        <w:tc>
          <w:tcPr>
            <w:tcW w:w="1288" w:type="dxa"/>
            <w:tcBorders>
              <w:top w:val="nil"/>
              <w:left w:val="nil"/>
              <w:right w:val="nil"/>
            </w:tcBorders>
            <w:shd w:val="clear" w:color="000000" w:fill="FFFFFF"/>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0.13</w:t>
            </w:r>
          </w:p>
        </w:tc>
        <w:tc>
          <w:tcPr>
            <w:tcW w:w="1159" w:type="dxa"/>
            <w:tcBorders>
              <w:top w:val="nil"/>
              <w:left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0.31</w:t>
            </w:r>
          </w:p>
        </w:tc>
        <w:tc>
          <w:tcPr>
            <w:tcW w:w="1291" w:type="dxa"/>
            <w:tcBorders>
              <w:top w:val="nil"/>
              <w:left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0.35</w:t>
            </w:r>
          </w:p>
        </w:tc>
        <w:tc>
          <w:tcPr>
            <w:tcW w:w="1159" w:type="dxa"/>
            <w:tcBorders>
              <w:top w:val="nil"/>
              <w:left w:val="nil"/>
              <w:right w:val="single" w:sz="4" w:space="0" w:color="auto"/>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-0.35</w:t>
            </w:r>
          </w:p>
        </w:tc>
      </w:tr>
      <w:tr w:rsidR="00161A1D" w:rsidRPr="00F74A03" w:rsidTr="00092B8A">
        <w:trPr>
          <w:trHeight w:val="320"/>
          <w:jc w:val="center"/>
        </w:trPr>
        <w:tc>
          <w:tcPr>
            <w:tcW w:w="3623" w:type="dxa"/>
            <w:gridSpan w:val="2"/>
            <w:tcBorders>
              <w:top w:val="nil"/>
              <w:left w:val="single" w:sz="4" w:space="0" w:color="auto"/>
              <w:right w:val="nil"/>
            </w:tcBorders>
            <w:shd w:val="clear" w:color="auto" w:fill="auto"/>
            <w:noWrap/>
            <w:vAlign w:val="bottom"/>
            <w:hideMark/>
          </w:tcPr>
          <w:p w:rsidR="00161A1D" w:rsidRDefault="00161A1D" w:rsidP="00161A1D">
            <w:pPr>
              <w:spacing w:after="0" w:line="240" w:lineRule="auto"/>
              <w:rPr>
                <w:rFonts w:eastAsia="Times New Roman" w:cs="Times New Roman"/>
                <w:i/>
                <w:iCs/>
                <w:color w:val="000000"/>
                <w:sz w:val="20"/>
                <w:szCs w:val="20"/>
              </w:rPr>
            </w:pPr>
            <w:r>
              <w:rPr>
                <w:rFonts w:eastAsia="Times New Roman" w:cs="Times New Roman"/>
                <w:i/>
                <w:iCs/>
                <w:color w:val="000000"/>
                <w:sz w:val="20"/>
                <w:szCs w:val="20"/>
              </w:rPr>
              <w:t xml:space="preserve">   CPI ex. B&amp;C, O&amp;F, and T</w:t>
            </w:r>
          </w:p>
        </w:tc>
        <w:tc>
          <w:tcPr>
            <w:tcW w:w="1288" w:type="dxa"/>
            <w:tcBorders>
              <w:top w:val="nil"/>
              <w:left w:val="nil"/>
              <w:right w:val="nil"/>
            </w:tcBorders>
            <w:shd w:val="clear" w:color="000000" w:fill="FFFFFF"/>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4.61</w:t>
            </w:r>
          </w:p>
        </w:tc>
        <w:tc>
          <w:tcPr>
            <w:tcW w:w="1159" w:type="dxa"/>
            <w:tcBorders>
              <w:top w:val="nil"/>
              <w:left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5.23</w:t>
            </w:r>
          </w:p>
        </w:tc>
        <w:tc>
          <w:tcPr>
            <w:tcW w:w="1291" w:type="dxa"/>
            <w:tcBorders>
              <w:top w:val="nil"/>
              <w:left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-1.45</w:t>
            </w:r>
          </w:p>
        </w:tc>
        <w:tc>
          <w:tcPr>
            <w:tcW w:w="1159" w:type="dxa"/>
            <w:tcBorders>
              <w:top w:val="nil"/>
              <w:left w:val="nil"/>
              <w:right w:val="single" w:sz="4" w:space="0" w:color="auto"/>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-0.93</w:t>
            </w:r>
          </w:p>
        </w:tc>
      </w:tr>
      <w:tr w:rsidR="00161A1D" w:rsidRPr="00F74A03" w:rsidTr="00092B8A">
        <w:trPr>
          <w:trHeight w:val="320"/>
          <w:jc w:val="center"/>
        </w:trPr>
        <w:tc>
          <w:tcPr>
            <w:tcW w:w="3623" w:type="dxa"/>
            <w:gridSpan w:val="2"/>
            <w:tcBorders>
              <w:left w:val="single" w:sz="4" w:space="0" w:color="auto"/>
              <w:bottom w:val="single" w:sz="4" w:space="0" w:color="auto"/>
              <w:right w:val="nil"/>
            </w:tcBorders>
            <w:shd w:val="clear" w:color="auto" w:fill="auto"/>
            <w:noWrap/>
            <w:vAlign w:val="bottom"/>
            <w:hideMark/>
          </w:tcPr>
          <w:p w:rsidR="00161A1D" w:rsidRDefault="00161A1D" w:rsidP="00161A1D">
            <w:pPr>
              <w:spacing w:after="0" w:line="240" w:lineRule="auto"/>
              <w:rPr>
                <w:rFonts w:eastAsia="Times New Roman" w:cs="Times New Roman"/>
                <w:i/>
                <w:iCs/>
                <w:color w:val="000000"/>
                <w:sz w:val="20"/>
                <w:szCs w:val="20"/>
              </w:rPr>
            </w:pPr>
            <w:r>
              <w:rPr>
                <w:rFonts w:eastAsia="Times New Roman" w:cs="Times New Roman"/>
                <w:i/>
                <w:iCs/>
                <w:color w:val="000000"/>
                <w:sz w:val="20"/>
                <w:szCs w:val="20"/>
              </w:rPr>
              <w:t xml:space="preserve">   Trimmed Mean</w:t>
            </w:r>
          </w:p>
        </w:tc>
        <w:tc>
          <w:tcPr>
            <w:tcW w:w="1288" w:type="dxa"/>
            <w:tcBorders>
              <w:left w:val="nil"/>
              <w:bottom w:val="single" w:sz="4" w:space="0" w:color="auto"/>
              <w:right w:val="nil"/>
            </w:tcBorders>
            <w:shd w:val="clear" w:color="000000" w:fill="FFFFFF"/>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5.99</w:t>
            </w:r>
          </w:p>
        </w:tc>
        <w:tc>
          <w:tcPr>
            <w:tcW w:w="1159" w:type="dxa"/>
            <w:tcBorders>
              <w:left w:val="nil"/>
              <w:bottom w:val="single" w:sz="4" w:space="0" w:color="auto"/>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5.28</w:t>
            </w:r>
          </w:p>
        </w:tc>
        <w:tc>
          <w:tcPr>
            <w:tcW w:w="1291" w:type="dxa"/>
            <w:tcBorders>
              <w:left w:val="nil"/>
              <w:bottom w:val="single" w:sz="4" w:space="0" w:color="auto"/>
              <w:right w:val="nil"/>
            </w:tcBorders>
            <w:shd w:val="clear" w:color="auto" w:fill="auto"/>
            <w:noWrap/>
            <w:vAlign w:val="center"/>
            <w:hideMark/>
          </w:tcPr>
          <w:p w:rsidR="00161A1D" w:rsidRPr="00142790" w:rsidRDefault="00161A1D" w:rsidP="00161A1D">
            <w:pPr>
              <w:spacing w:after="0" w:line="240" w:lineRule="auto"/>
              <w:jc w:val="center"/>
              <w:rPr>
                <w:rFonts w:eastAsia="Times New Roman" w:cs="Times New Roman"/>
                <w:sz w:val="18"/>
                <w:szCs w:val="18"/>
              </w:rPr>
            </w:pPr>
          </w:p>
        </w:tc>
        <w:tc>
          <w:tcPr>
            <w:tcW w:w="1159" w:type="dxa"/>
            <w:tcBorders>
              <w:left w:val="nil"/>
              <w:bottom w:val="single" w:sz="4" w:space="0" w:color="auto"/>
              <w:right w:val="single" w:sz="4" w:space="0" w:color="auto"/>
            </w:tcBorders>
            <w:shd w:val="clear" w:color="auto" w:fill="auto"/>
            <w:noWrap/>
            <w:vAlign w:val="center"/>
            <w:hideMark/>
          </w:tcPr>
          <w:p w:rsidR="00161A1D" w:rsidRPr="00142790" w:rsidRDefault="00161A1D" w:rsidP="00161A1D">
            <w:pPr>
              <w:spacing w:after="0" w:line="240" w:lineRule="auto"/>
              <w:jc w:val="center"/>
              <w:rPr>
                <w:rFonts w:eastAsia="Times New Roman" w:cs="Times New Roman"/>
                <w:sz w:val="18"/>
                <w:szCs w:val="18"/>
              </w:rPr>
            </w:pPr>
          </w:p>
        </w:tc>
      </w:tr>
      <w:tr w:rsidR="00161A1D" w:rsidRPr="00F74A03" w:rsidTr="00F74A03">
        <w:trPr>
          <w:trHeight w:val="320"/>
          <w:jc w:val="center"/>
        </w:trPr>
        <w:tc>
          <w:tcPr>
            <w:tcW w:w="3623" w:type="dxa"/>
            <w:gridSpan w:val="2"/>
            <w:tcBorders>
              <w:top w:val="single" w:sz="4" w:space="0" w:color="auto"/>
              <w:left w:val="single" w:sz="4" w:space="0" w:color="auto"/>
              <w:right w:val="nil"/>
            </w:tcBorders>
            <w:shd w:val="clear" w:color="auto" w:fill="DBE5F1"/>
            <w:noWrap/>
            <w:vAlign w:val="bottom"/>
            <w:hideMark/>
          </w:tcPr>
          <w:p w:rsidR="00161A1D" w:rsidRDefault="00161A1D" w:rsidP="00161A1D">
            <w:pPr>
              <w:spacing w:after="0" w:line="240" w:lineRule="auto"/>
              <w:rPr>
                <w:rFonts w:eastAsia="Times New Roman" w:cs="Times New Roman"/>
                <w:i/>
                <w:iCs/>
                <w:color w:val="000000"/>
                <w:sz w:val="20"/>
                <w:szCs w:val="20"/>
              </w:rPr>
            </w:pPr>
            <w:r w:rsidRPr="005264EA">
              <w:rPr>
                <w:rFonts w:eastAsia="Times New Roman" w:cs="Times New Roman"/>
                <w:b/>
                <w:bCs/>
                <w:color w:val="0070C0"/>
              </w:rPr>
              <w:t>Kabul CPI</w:t>
            </w:r>
          </w:p>
        </w:tc>
        <w:tc>
          <w:tcPr>
            <w:tcW w:w="1288" w:type="dxa"/>
            <w:tcBorders>
              <w:top w:val="single" w:sz="4" w:space="0" w:color="auto"/>
              <w:left w:val="nil"/>
              <w:right w:val="nil"/>
            </w:tcBorders>
            <w:shd w:val="clear" w:color="auto" w:fill="DBE5F1"/>
            <w:noWrap/>
            <w:vAlign w:val="center"/>
            <w:hideMark/>
          </w:tcPr>
          <w:p w:rsidR="00161A1D" w:rsidRPr="00142790" w:rsidRDefault="00161A1D" w:rsidP="00161A1D">
            <w:pPr>
              <w:spacing w:after="0" w:line="240" w:lineRule="auto"/>
              <w:jc w:val="center"/>
              <w:rPr>
                <w:rFonts w:eastAsia="Times New Roman" w:cs="Times New Roman"/>
                <w:sz w:val="18"/>
                <w:szCs w:val="18"/>
              </w:rPr>
            </w:pPr>
          </w:p>
        </w:tc>
        <w:tc>
          <w:tcPr>
            <w:tcW w:w="1159" w:type="dxa"/>
            <w:tcBorders>
              <w:top w:val="single" w:sz="4" w:space="0" w:color="auto"/>
              <w:left w:val="nil"/>
              <w:right w:val="nil"/>
            </w:tcBorders>
            <w:shd w:val="clear" w:color="auto" w:fill="DBE5F1"/>
            <w:noWrap/>
            <w:vAlign w:val="center"/>
            <w:hideMark/>
          </w:tcPr>
          <w:p w:rsidR="00161A1D" w:rsidRPr="00142790" w:rsidRDefault="00161A1D" w:rsidP="00161A1D">
            <w:pPr>
              <w:spacing w:after="0" w:line="240" w:lineRule="auto"/>
              <w:jc w:val="center"/>
              <w:rPr>
                <w:rFonts w:eastAsia="Times New Roman" w:cs="Times New Roman"/>
                <w:sz w:val="18"/>
                <w:szCs w:val="18"/>
              </w:rPr>
            </w:pPr>
          </w:p>
        </w:tc>
        <w:tc>
          <w:tcPr>
            <w:tcW w:w="1291" w:type="dxa"/>
            <w:tcBorders>
              <w:top w:val="single" w:sz="4" w:space="0" w:color="auto"/>
              <w:left w:val="nil"/>
              <w:right w:val="nil"/>
            </w:tcBorders>
            <w:shd w:val="clear" w:color="auto" w:fill="DBE5F1"/>
            <w:noWrap/>
            <w:vAlign w:val="center"/>
            <w:hideMark/>
          </w:tcPr>
          <w:p w:rsidR="00161A1D" w:rsidRPr="00142790" w:rsidRDefault="00161A1D" w:rsidP="00161A1D">
            <w:pPr>
              <w:spacing w:after="0" w:line="240" w:lineRule="auto"/>
              <w:jc w:val="center"/>
              <w:rPr>
                <w:rFonts w:eastAsia="Times New Roman" w:cs="Times New Roman"/>
                <w:sz w:val="18"/>
                <w:szCs w:val="18"/>
              </w:rPr>
            </w:pPr>
          </w:p>
        </w:tc>
        <w:tc>
          <w:tcPr>
            <w:tcW w:w="1159" w:type="dxa"/>
            <w:tcBorders>
              <w:top w:val="single" w:sz="4" w:space="0" w:color="auto"/>
              <w:left w:val="nil"/>
              <w:right w:val="single" w:sz="4" w:space="0" w:color="auto"/>
            </w:tcBorders>
            <w:shd w:val="clear" w:color="auto" w:fill="DBE5F1"/>
            <w:noWrap/>
            <w:vAlign w:val="center"/>
            <w:hideMark/>
          </w:tcPr>
          <w:p w:rsidR="00161A1D" w:rsidRPr="00142790" w:rsidRDefault="00161A1D" w:rsidP="00161A1D">
            <w:pPr>
              <w:spacing w:after="0" w:line="240" w:lineRule="auto"/>
              <w:jc w:val="center"/>
              <w:rPr>
                <w:rFonts w:eastAsia="Times New Roman" w:cs="Times New Roman"/>
                <w:sz w:val="18"/>
                <w:szCs w:val="18"/>
              </w:rPr>
            </w:pPr>
          </w:p>
        </w:tc>
      </w:tr>
      <w:tr w:rsidR="00161A1D" w:rsidRPr="00F74A03" w:rsidTr="00092B8A">
        <w:trPr>
          <w:trHeight w:val="320"/>
          <w:jc w:val="center"/>
        </w:trPr>
        <w:tc>
          <w:tcPr>
            <w:tcW w:w="3623" w:type="dxa"/>
            <w:gridSpan w:val="2"/>
            <w:tcBorders>
              <w:left w:val="single" w:sz="4" w:space="0" w:color="auto"/>
              <w:right w:val="nil"/>
            </w:tcBorders>
            <w:shd w:val="clear" w:color="auto" w:fill="auto"/>
            <w:noWrap/>
            <w:vAlign w:val="bottom"/>
            <w:hideMark/>
          </w:tcPr>
          <w:p w:rsidR="00161A1D" w:rsidRPr="00007A50" w:rsidRDefault="00161A1D" w:rsidP="00161A1D">
            <w:pPr>
              <w:spacing w:after="0" w:line="240" w:lineRule="auto"/>
              <w:rPr>
                <w:rFonts w:eastAsia="Times New Roman" w:cs="Times New Roman"/>
                <w:i/>
                <w:iCs/>
                <w:sz w:val="20"/>
                <w:szCs w:val="20"/>
              </w:rPr>
            </w:pPr>
            <w:r w:rsidRPr="00007A50">
              <w:rPr>
                <w:rFonts w:eastAsia="Times New Roman" w:cs="Times New Roman"/>
                <w:b/>
                <w:bCs/>
              </w:rPr>
              <w:t>Headline</w:t>
            </w:r>
          </w:p>
        </w:tc>
        <w:tc>
          <w:tcPr>
            <w:tcW w:w="1288" w:type="dxa"/>
            <w:tcBorders>
              <w:left w:val="nil"/>
              <w:right w:val="nil"/>
            </w:tcBorders>
            <w:shd w:val="clear" w:color="000000" w:fill="FFFFFF"/>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4.47</w:t>
            </w:r>
          </w:p>
        </w:tc>
        <w:tc>
          <w:tcPr>
            <w:tcW w:w="1159" w:type="dxa"/>
            <w:tcBorders>
              <w:left w:val="nil"/>
              <w:right w:val="nil"/>
            </w:tcBorders>
            <w:shd w:val="clear" w:color="auto" w:fill="auto"/>
            <w:noWrap/>
            <w:vAlign w:val="center"/>
            <w:hideMark/>
          </w:tcPr>
          <w:p w:rsidR="00161A1D" w:rsidRDefault="0096710C" w:rsidP="00161A1D">
            <w:pPr>
              <w:spacing w:after="0" w:line="240" w:lineRule="auto"/>
              <w:jc w:val="center"/>
              <w:rPr>
                <w:rFonts w:eastAsia="Times New Roman" w:cs="Times New Roman"/>
                <w:sz w:val="18"/>
                <w:szCs w:val="18"/>
              </w:rPr>
            </w:pPr>
            <w:r>
              <w:rPr>
                <w:rFonts w:eastAsia="Times New Roman" w:cs="Times New Roman"/>
                <w:sz w:val="18"/>
                <w:szCs w:val="18"/>
              </w:rPr>
              <w:t>4.69</w:t>
            </w:r>
          </w:p>
        </w:tc>
        <w:tc>
          <w:tcPr>
            <w:tcW w:w="1291" w:type="dxa"/>
            <w:tcBorders>
              <w:left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0.07</w:t>
            </w:r>
          </w:p>
        </w:tc>
        <w:tc>
          <w:tcPr>
            <w:tcW w:w="1159" w:type="dxa"/>
            <w:tcBorders>
              <w:left w:val="nil"/>
              <w:right w:val="single" w:sz="4" w:space="0" w:color="auto"/>
            </w:tcBorders>
            <w:shd w:val="clear" w:color="auto" w:fill="auto"/>
            <w:noWrap/>
            <w:vAlign w:val="center"/>
            <w:hideMark/>
          </w:tcPr>
          <w:p w:rsidR="00161A1D" w:rsidRDefault="0096710C" w:rsidP="00161A1D">
            <w:pPr>
              <w:spacing w:after="0" w:line="240" w:lineRule="auto"/>
              <w:jc w:val="center"/>
              <w:rPr>
                <w:rFonts w:eastAsia="Times New Roman" w:cs="Times New Roman"/>
                <w:sz w:val="18"/>
                <w:szCs w:val="18"/>
              </w:rPr>
            </w:pPr>
            <w:r>
              <w:rPr>
                <w:rFonts w:eastAsia="Times New Roman" w:cs="Times New Roman"/>
                <w:sz w:val="18"/>
                <w:szCs w:val="18"/>
              </w:rPr>
              <w:t>-0.93</w:t>
            </w:r>
          </w:p>
        </w:tc>
      </w:tr>
      <w:tr w:rsidR="00161A1D" w:rsidRPr="00F74A03" w:rsidTr="00092B8A">
        <w:trPr>
          <w:trHeight w:val="320"/>
          <w:jc w:val="center"/>
        </w:trPr>
        <w:tc>
          <w:tcPr>
            <w:tcW w:w="3623" w:type="dxa"/>
            <w:gridSpan w:val="2"/>
            <w:tcBorders>
              <w:left w:val="single" w:sz="4" w:space="0" w:color="auto"/>
              <w:right w:val="nil"/>
            </w:tcBorders>
            <w:shd w:val="clear" w:color="auto" w:fill="auto"/>
            <w:noWrap/>
            <w:vAlign w:val="bottom"/>
            <w:hideMark/>
          </w:tcPr>
          <w:p w:rsidR="00161A1D" w:rsidRPr="00007A50" w:rsidRDefault="00161A1D" w:rsidP="00161A1D">
            <w:pPr>
              <w:spacing w:after="0" w:line="240" w:lineRule="auto"/>
              <w:rPr>
                <w:rFonts w:eastAsia="Times New Roman" w:cs="Times New Roman"/>
                <w:i/>
                <w:iCs/>
                <w:sz w:val="20"/>
                <w:szCs w:val="20"/>
              </w:rPr>
            </w:pPr>
            <w:r w:rsidRPr="00007A50">
              <w:rPr>
                <w:rFonts w:eastAsia="Times New Roman" w:cs="Times New Roman"/>
                <w:i/>
                <w:iCs/>
                <w:sz w:val="20"/>
                <w:szCs w:val="20"/>
              </w:rPr>
              <w:t>Food</w:t>
            </w:r>
          </w:p>
        </w:tc>
        <w:tc>
          <w:tcPr>
            <w:tcW w:w="1288" w:type="dxa"/>
            <w:tcBorders>
              <w:left w:val="nil"/>
              <w:right w:val="nil"/>
            </w:tcBorders>
            <w:shd w:val="clear" w:color="000000" w:fill="FFFFFF"/>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8.67</w:t>
            </w:r>
          </w:p>
        </w:tc>
        <w:tc>
          <w:tcPr>
            <w:tcW w:w="1159" w:type="dxa"/>
            <w:tcBorders>
              <w:left w:val="nil"/>
              <w:right w:val="nil"/>
            </w:tcBorders>
            <w:shd w:val="clear" w:color="auto" w:fill="auto"/>
            <w:noWrap/>
            <w:vAlign w:val="center"/>
            <w:hideMark/>
          </w:tcPr>
          <w:p w:rsidR="00161A1D" w:rsidRDefault="0096710C" w:rsidP="00161A1D">
            <w:pPr>
              <w:spacing w:after="0" w:line="240" w:lineRule="auto"/>
              <w:jc w:val="center"/>
              <w:rPr>
                <w:rFonts w:eastAsia="Times New Roman" w:cs="Times New Roman"/>
                <w:sz w:val="18"/>
                <w:szCs w:val="18"/>
              </w:rPr>
            </w:pPr>
            <w:r>
              <w:rPr>
                <w:rFonts w:eastAsia="Times New Roman" w:cs="Times New Roman"/>
                <w:sz w:val="18"/>
                <w:szCs w:val="18"/>
              </w:rPr>
              <w:t>9.99</w:t>
            </w:r>
          </w:p>
        </w:tc>
        <w:tc>
          <w:tcPr>
            <w:tcW w:w="1291" w:type="dxa"/>
            <w:tcBorders>
              <w:left w:val="nil"/>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-1.39</w:t>
            </w:r>
          </w:p>
        </w:tc>
        <w:tc>
          <w:tcPr>
            <w:tcW w:w="1159" w:type="dxa"/>
            <w:tcBorders>
              <w:left w:val="nil"/>
              <w:right w:val="single" w:sz="4" w:space="0" w:color="auto"/>
            </w:tcBorders>
            <w:shd w:val="clear" w:color="auto" w:fill="auto"/>
            <w:noWrap/>
            <w:vAlign w:val="center"/>
            <w:hideMark/>
          </w:tcPr>
          <w:p w:rsidR="00161A1D" w:rsidRDefault="0096710C" w:rsidP="00161A1D">
            <w:pPr>
              <w:spacing w:after="0" w:line="240" w:lineRule="auto"/>
              <w:jc w:val="center"/>
              <w:rPr>
                <w:rFonts w:eastAsia="Times New Roman" w:cs="Times New Roman"/>
                <w:sz w:val="18"/>
                <w:szCs w:val="18"/>
              </w:rPr>
            </w:pPr>
            <w:r>
              <w:rPr>
                <w:rFonts w:eastAsia="Times New Roman" w:cs="Times New Roman"/>
                <w:sz w:val="18"/>
                <w:szCs w:val="18"/>
              </w:rPr>
              <w:t>-0.88</w:t>
            </w:r>
          </w:p>
        </w:tc>
      </w:tr>
      <w:tr w:rsidR="00161A1D" w:rsidRPr="00F74A03" w:rsidTr="00092B8A">
        <w:trPr>
          <w:trHeight w:val="320"/>
          <w:jc w:val="center"/>
        </w:trPr>
        <w:tc>
          <w:tcPr>
            <w:tcW w:w="3623" w:type="dxa"/>
            <w:gridSpan w:val="2"/>
            <w:tcBorders>
              <w:left w:val="single" w:sz="4" w:space="0" w:color="auto"/>
              <w:bottom w:val="single" w:sz="4" w:space="0" w:color="auto"/>
              <w:right w:val="nil"/>
            </w:tcBorders>
            <w:shd w:val="clear" w:color="auto" w:fill="auto"/>
            <w:noWrap/>
            <w:vAlign w:val="bottom"/>
            <w:hideMark/>
          </w:tcPr>
          <w:p w:rsidR="00161A1D" w:rsidRPr="00007A50" w:rsidRDefault="00161A1D" w:rsidP="00161A1D">
            <w:pPr>
              <w:spacing w:after="0" w:line="240" w:lineRule="auto"/>
              <w:rPr>
                <w:rFonts w:eastAsia="Times New Roman" w:cs="Times New Roman"/>
                <w:i/>
                <w:iCs/>
                <w:sz w:val="20"/>
                <w:szCs w:val="20"/>
              </w:rPr>
            </w:pPr>
            <w:r w:rsidRPr="00007A50">
              <w:rPr>
                <w:rFonts w:eastAsia="Times New Roman" w:cs="Times New Roman"/>
                <w:i/>
                <w:iCs/>
                <w:sz w:val="20"/>
                <w:szCs w:val="20"/>
              </w:rPr>
              <w:t xml:space="preserve">   Non-Food</w:t>
            </w:r>
          </w:p>
        </w:tc>
        <w:tc>
          <w:tcPr>
            <w:tcW w:w="1288" w:type="dxa"/>
            <w:tcBorders>
              <w:left w:val="nil"/>
              <w:bottom w:val="single" w:sz="4" w:space="0" w:color="auto"/>
              <w:right w:val="nil"/>
            </w:tcBorders>
            <w:shd w:val="clear" w:color="000000" w:fill="FFFFFF"/>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1.74</w:t>
            </w:r>
          </w:p>
        </w:tc>
        <w:tc>
          <w:tcPr>
            <w:tcW w:w="1159" w:type="dxa"/>
            <w:tcBorders>
              <w:left w:val="nil"/>
              <w:bottom w:val="single" w:sz="4" w:space="0" w:color="auto"/>
              <w:right w:val="nil"/>
            </w:tcBorders>
            <w:shd w:val="clear" w:color="auto" w:fill="auto"/>
            <w:noWrap/>
            <w:vAlign w:val="center"/>
            <w:hideMark/>
          </w:tcPr>
          <w:p w:rsidR="00161A1D" w:rsidRDefault="0096710C" w:rsidP="00161A1D">
            <w:pPr>
              <w:spacing w:after="0" w:line="240" w:lineRule="auto"/>
              <w:jc w:val="center"/>
              <w:rPr>
                <w:rFonts w:eastAsia="Times New Roman" w:cs="Times New Roman"/>
                <w:sz w:val="18"/>
                <w:szCs w:val="18"/>
              </w:rPr>
            </w:pPr>
            <w:r>
              <w:rPr>
                <w:rFonts w:eastAsia="Times New Roman" w:cs="Times New Roman"/>
                <w:sz w:val="18"/>
                <w:szCs w:val="18"/>
              </w:rPr>
              <w:t>1.30</w:t>
            </w:r>
          </w:p>
        </w:tc>
        <w:tc>
          <w:tcPr>
            <w:tcW w:w="1291" w:type="dxa"/>
            <w:tcBorders>
              <w:left w:val="nil"/>
              <w:bottom w:val="single" w:sz="4" w:space="0" w:color="auto"/>
              <w:right w:val="nil"/>
            </w:tcBorders>
            <w:shd w:val="clear" w:color="auto" w:fill="auto"/>
            <w:noWrap/>
            <w:vAlign w:val="center"/>
            <w:hideMark/>
          </w:tcPr>
          <w:p w:rsidR="00161A1D" w:rsidRDefault="00161A1D" w:rsidP="00161A1D">
            <w:pPr>
              <w:spacing w:after="0" w:line="240" w:lineRule="auto"/>
              <w:jc w:val="center"/>
              <w:rPr>
                <w:rFonts w:eastAsia="Times New Roman" w:cs="Times New Roman"/>
                <w:sz w:val="18"/>
                <w:szCs w:val="18"/>
              </w:rPr>
            </w:pPr>
            <w:r>
              <w:rPr>
                <w:rFonts w:eastAsia="Times New Roman" w:cs="Times New Roman"/>
                <w:sz w:val="18"/>
                <w:szCs w:val="18"/>
              </w:rPr>
              <w:t>1.11</w:t>
            </w:r>
          </w:p>
        </w:tc>
        <w:tc>
          <w:tcPr>
            <w:tcW w:w="1159" w:type="dxa"/>
            <w:tcBorders>
              <w:left w:val="nil"/>
              <w:bottom w:val="single" w:sz="4" w:space="0" w:color="auto"/>
              <w:right w:val="single" w:sz="4" w:space="0" w:color="auto"/>
            </w:tcBorders>
            <w:shd w:val="clear" w:color="auto" w:fill="auto"/>
            <w:noWrap/>
            <w:vAlign w:val="center"/>
            <w:hideMark/>
          </w:tcPr>
          <w:p w:rsidR="00161A1D" w:rsidRDefault="0096710C" w:rsidP="00161A1D">
            <w:pPr>
              <w:spacing w:after="0" w:line="240" w:lineRule="auto"/>
              <w:jc w:val="center"/>
              <w:rPr>
                <w:rFonts w:eastAsia="Times New Roman" w:cs="Times New Roman"/>
                <w:sz w:val="18"/>
                <w:szCs w:val="18"/>
              </w:rPr>
            </w:pPr>
            <w:r>
              <w:rPr>
                <w:rFonts w:eastAsia="Times New Roman" w:cs="Times New Roman"/>
                <w:sz w:val="18"/>
                <w:szCs w:val="18"/>
              </w:rPr>
              <w:t>-0.96</w:t>
            </w:r>
          </w:p>
        </w:tc>
      </w:tr>
      <w:tr w:rsidR="00161A1D" w:rsidRPr="00F74A03" w:rsidTr="004334FB">
        <w:trPr>
          <w:gridAfter w:val="5"/>
          <w:wAfter w:w="7362" w:type="dxa"/>
          <w:trHeight w:val="320"/>
          <w:jc w:val="center"/>
        </w:trPr>
        <w:tc>
          <w:tcPr>
            <w:tcW w:w="1158" w:type="dxa"/>
            <w:tcBorders>
              <w:top w:val="nil"/>
              <w:left w:val="nil"/>
              <w:bottom w:val="nil"/>
              <w:right w:val="nil"/>
            </w:tcBorders>
            <w:shd w:val="clear" w:color="auto" w:fill="auto"/>
            <w:noWrap/>
            <w:vAlign w:val="bottom"/>
            <w:hideMark/>
          </w:tcPr>
          <w:p w:rsidR="00161A1D" w:rsidRPr="00BE15CD" w:rsidRDefault="00161A1D" w:rsidP="00161A1D">
            <w:pPr>
              <w:spacing w:after="0" w:line="240" w:lineRule="auto"/>
              <w:rPr>
                <w:rFonts w:eastAsia="Times New Roman" w:cs="Times New Roman"/>
                <w:color w:val="000000"/>
              </w:rPr>
            </w:pPr>
          </w:p>
        </w:tc>
      </w:tr>
      <w:tr w:rsidR="00161A1D" w:rsidRPr="00F74A03" w:rsidTr="004334FB">
        <w:trPr>
          <w:gridAfter w:val="5"/>
          <w:wAfter w:w="7362" w:type="dxa"/>
          <w:trHeight w:val="320"/>
          <w:jc w:val="center"/>
        </w:trPr>
        <w:tc>
          <w:tcPr>
            <w:tcW w:w="1158" w:type="dxa"/>
            <w:tcBorders>
              <w:top w:val="nil"/>
              <w:left w:val="nil"/>
              <w:bottom w:val="nil"/>
              <w:right w:val="nil"/>
            </w:tcBorders>
            <w:shd w:val="clear" w:color="auto" w:fill="auto"/>
            <w:noWrap/>
            <w:vAlign w:val="bottom"/>
          </w:tcPr>
          <w:p w:rsidR="00161A1D" w:rsidRDefault="00161A1D" w:rsidP="00161A1D">
            <w:pPr>
              <w:spacing w:after="0" w:line="240" w:lineRule="auto"/>
              <w:rPr>
                <w:rFonts w:eastAsia="Times New Roman" w:cs="Times New Roman"/>
                <w:color w:val="000000"/>
              </w:rPr>
            </w:pPr>
          </w:p>
          <w:p w:rsidR="00161A1D" w:rsidRDefault="00161A1D" w:rsidP="00161A1D">
            <w:pPr>
              <w:spacing w:after="0" w:line="240" w:lineRule="auto"/>
              <w:rPr>
                <w:rFonts w:eastAsia="Times New Roman" w:cs="Times New Roman"/>
                <w:color w:val="000000"/>
              </w:rPr>
            </w:pPr>
          </w:p>
          <w:p w:rsidR="00161A1D" w:rsidRPr="00BE15CD" w:rsidRDefault="00161A1D" w:rsidP="00161A1D">
            <w:pPr>
              <w:spacing w:after="0" w:line="240" w:lineRule="auto"/>
              <w:rPr>
                <w:rFonts w:eastAsia="Times New Roman" w:cs="Times New Roman"/>
                <w:color w:val="000000"/>
              </w:rPr>
            </w:pPr>
          </w:p>
        </w:tc>
      </w:tr>
      <w:tr w:rsidR="00161A1D" w:rsidRPr="00F74A03" w:rsidTr="004334FB">
        <w:trPr>
          <w:gridAfter w:val="5"/>
          <w:wAfter w:w="7362" w:type="dxa"/>
          <w:trHeight w:val="320"/>
          <w:jc w:val="center"/>
        </w:trPr>
        <w:tc>
          <w:tcPr>
            <w:tcW w:w="1158" w:type="dxa"/>
            <w:tcBorders>
              <w:top w:val="nil"/>
              <w:left w:val="nil"/>
              <w:bottom w:val="nil"/>
              <w:right w:val="nil"/>
            </w:tcBorders>
            <w:shd w:val="clear" w:color="auto" w:fill="auto"/>
            <w:noWrap/>
            <w:vAlign w:val="bottom"/>
          </w:tcPr>
          <w:p w:rsidR="00161A1D" w:rsidRDefault="00161A1D" w:rsidP="00161A1D">
            <w:pPr>
              <w:spacing w:after="0" w:line="240" w:lineRule="auto"/>
              <w:rPr>
                <w:rFonts w:eastAsia="Times New Roman" w:cs="Times New Roman"/>
                <w:color w:val="000000"/>
              </w:rPr>
            </w:pPr>
          </w:p>
          <w:p w:rsidR="00161A1D" w:rsidRDefault="00161A1D" w:rsidP="00161A1D">
            <w:pPr>
              <w:spacing w:after="0" w:line="240" w:lineRule="auto"/>
              <w:rPr>
                <w:rFonts w:eastAsia="Times New Roman" w:cs="Times New Roman"/>
                <w:color w:val="000000"/>
              </w:rPr>
            </w:pPr>
          </w:p>
        </w:tc>
      </w:tr>
    </w:tbl>
    <w:p w:rsidR="00836FBD" w:rsidRPr="00F74A03" w:rsidRDefault="00836FBD">
      <w:pPr>
        <w:rPr>
          <w:b/>
          <w:bCs/>
          <w:i/>
          <w:iCs/>
          <w:color w:val="1F497D"/>
          <w:sz w:val="28"/>
          <w:szCs w:val="28"/>
          <w:u w:val="single"/>
        </w:rPr>
        <w:sectPr w:rsidR="00836FBD" w:rsidRPr="00F74A03" w:rsidSect="00E01D82">
          <w:pgSz w:w="12240" w:h="15840"/>
          <w:pgMar w:top="1440" w:right="1440" w:bottom="1440" w:left="1440" w:header="720" w:footer="720" w:gutter="0"/>
          <w:pgNumType w:start="1"/>
          <w:cols w:space="432"/>
          <w:docGrid w:linePitch="360"/>
        </w:sectPr>
      </w:pPr>
    </w:p>
    <w:p w:rsidR="00161A1D" w:rsidRPr="00F74A03" w:rsidRDefault="00161A1D" w:rsidP="002815F5">
      <w:pPr>
        <w:pStyle w:val="Heading1"/>
      </w:pPr>
      <w:bookmarkStart w:id="4" w:name="_Toc91670357"/>
      <w:r w:rsidRPr="00F74A03">
        <w:lastRenderedPageBreak/>
        <w:t>HEADLINE INFLATION</w:t>
      </w:r>
      <w:bookmarkEnd w:id="4"/>
    </w:p>
    <w:p w:rsidR="00F3628B" w:rsidRPr="00A377E3" w:rsidRDefault="00161A1D" w:rsidP="00F3628B">
      <w:pPr>
        <w:spacing w:before="120" w:after="120" w:line="360" w:lineRule="atLeast"/>
        <w:jc w:val="both"/>
      </w:pPr>
      <w:r w:rsidRPr="00A377E3">
        <w:t xml:space="preserve">Headline inflation decreased in the month of July 2020. Observing the data, headline inflation decreased to 6.33 percent from 6.36 percent (year over year). This decrease is caused by lower prices of food items. Core measure of inflation when measured based on 30% trimmed mean </w:t>
      </w:r>
      <w:r w:rsidR="00F3628B" w:rsidRPr="00A377E3">
        <w:t>decreased to 5.28 percent, while it was calculated 5.99 percent in the previous month.</w:t>
      </w:r>
    </w:p>
    <w:p w:rsidR="00F3628B" w:rsidRPr="00A377E3" w:rsidRDefault="00F3628B" w:rsidP="00161A1D">
      <w:pPr>
        <w:spacing w:before="120" w:after="120" w:line="360" w:lineRule="atLeast"/>
        <w:jc w:val="both"/>
      </w:pPr>
      <w:r w:rsidRPr="00A377E3">
        <w:rPr>
          <w:noProof/>
        </w:rPr>
        <w:lastRenderedPageBreak/>
        <w:drawing>
          <wp:inline distT="0" distB="0" distL="0" distR="0">
            <wp:extent cx="2286000" cy="1371600"/>
            <wp:effectExtent l="0" t="0" r="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1A1D" w:rsidRPr="00A377E3" w:rsidRDefault="00F3628B" w:rsidP="00161A1D">
      <w:pPr>
        <w:ind w:right="30"/>
        <w:rPr>
          <w:rFonts w:cs="Arabic Typesetting"/>
          <w:sz w:val="16"/>
          <w:szCs w:val="16"/>
          <w:lang w:bidi="fa-IR"/>
        </w:rPr>
        <w:sectPr w:rsidR="00161A1D" w:rsidRPr="00A377E3" w:rsidSect="00E676E7">
          <w:type w:val="continuous"/>
          <w:pgSz w:w="12240" w:h="15840"/>
          <w:pgMar w:top="1440" w:right="1440" w:bottom="1440" w:left="1440" w:header="720" w:footer="720" w:gutter="0"/>
          <w:cols w:num="2" w:space="432" w:equalWidth="0">
            <w:col w:w="5616" w:space="432"/>
            <w:col w:w="3312"/>
          </w:cols>
          <w:docGrid w:linePitch="360"/>
        </w:sectPr>
      </w:pPr>
      <w:r w:rsidRPr="00A377E3">
        <w:rPr>
          <w:rFonts w:cs="Arabic Typesetting"/>
          <w:sz w:val="16"/>
          <w:szCs w:val="16"/>
          <w:lang w:bidi="fa-IR"/>
        </w:rPr>
        <w:t>Source</w:t>
      </w:r>
      <w:r w:rsidR="00161A1D" w:rsidRPr="00A377E3">
        <w:rPr>
          <w:rFonts w:cs="Arabic Typesetting"/>
          <w:sz w:val="16"/>
          <w:szCs w:val="16"/>
          <w:lang w:bidi="fa-IR"/>
        </w:rPr>
        <w:t xml:space="preserve">: Da Afghanistan bank/NSIA </w:t>
      </w:r>
    </w:p>
    <w:p w:rsidR="00161A1D" w:rsidRPr="00A377E3" w:rsidRDefault="00161A1D" w:rsidP="00161A1D">
      <w:pPr>
        <w:keepNext/>
        <w:spacing w:before="120" w:after="120" w:line="360" w:lineRule="atLeast"/>
        <w:jc w:val="both"/>
      </w:pPr>
    </w:p>
    <w:p w:rsidR="00161A1D" w:rsidRPr="00A377E3" w:rsidRDefault="00161A1D" w:rsidP="00161A1D">
      <w:pPr>
        <w:spacing w:before="120" w:after="120" w:line="360" w:lineRule="atLeast"/>
        <w:jc w:val="both"/>
      </w:pPr>
      <w:r w:rsidRPr="00A377E3">
        <w:t xml:space="preserve">The short-term (month-to-month) change in inflation shows downward trends in the period under review. When measured on the month-to-month basis, headline inflation decreased in </w:t>
      </w:r>
      <w:r w:rsidR="00A377E3" w:rsidRPr="00A377E3">
        <w:t>July</w:t>
      </w:r>
      <w:r w:rsidRPr="00A377E3">
        <w:t xml:space="preserve"> 2020. Observing the data, overall inflation decreased to a rate of -1.11 percent from -0.81 percent recorded in the previous month. During the reporting period, fo</w:t>
      </w:r>
      <w:r w:rsidR="007B3307">
        <w:t>od items of the CPI in</w:t>
      </w:r>
      <w:r w:rsidRPr="00A377E3">
        <w:t xml:space="preserve">creased to -1.81 </w:t>
      </w:r>
      <w:r w:rsidRPr="000D2F8F">
        <w:t>percent from -1.8</w:t>
      </w:r>
      <w:r w:rsidR="007B3307" w:rsidRPr="000D2F8F">
        <w:t>7 percent. Core measures also in</w:t>
      </w:r>
      <w:r w:rsidRPr="000D2F8F">
        <w:t>creased on the month-to-month basis. CPI excluding bread and cereals, oils and fats and transportation increased to -0.93 percent from -1.45 percent on month to month basis.</w:t>
      </w:r>
    </w:p>
    <w:p w:rsidR="00076A69" w:rsidRDefault="00076A69" w:rsidP="00962335">
      <w:pPr>
        <w:ind w:right="30"/>
        <w:jc w:val="both"/>
        <w:rPr>
          <w:rFonts w:cs="Arabic Typesetting"/>
          <w:lang w:bidi="fa-IR"/>
        </w:rPr>
      </w:pPr>
    </w:p>
    <w:p w:rsidR="00B47343" w:rsidRDefault="00B47343" w:rsidP="00962335">
      <w:pPr>
        <w:ind w:right="30"/>
        <w:jc w:val="both"/>
        <w:rPr>
          <w:rFonts w:cs="Arabic Typesetting"/>
          <w:lang w:bidi="fa-IR"/>
        </w:rPr>
      </w:pPr>
    </w:p>
    <w:p w:rsidR="00B47343" w:rsidRDefault="00B47343" w:rsidP="00962335">
      <w:pPr>
        <w:ind w:right="30"/>
        <w:jc w:val="both"/>
        <w:rPr>
          <w:rFonts w:cs="Arabic Typesetting"/>
          <w:lang w:bidi="fa-IR"/>
        </w:rPr>
      </w:pPr>
    </w:p>
    <w:p w:rsidR="00B47343" w:rsidRDefault="00B47343" w:rsidP="00962335">
      <w:pPr>
        <w:ind w:right="30"/>
        <w:jc w:val="both"/>
        <w:rPr>
          <w:rFonts w:cs="Arabic Typesetting"/>
          <w:lang w:bidi="fa-IR"/>
        </w:rPr>
      </w:pPr>
    </w:p>
    <w:p w:rsidR="0045252C" w:rsidRDefault="0045252C" w:rsidP="00962335">
      <w:pPr>
        <w:ind w:right="30"/>
        <w:jc w:val="both"/>
        <w:rPr>
          <w:rFonts w:cs="Arabic Typesetting"/>
          <w:lang w:bidi="fa-IR"/>
        </w:rPr>
      </w:pPr>
    </w:p>
    <w:p w:rsidR="0045252C" w:rsidRDefault="0045252C" w:rsidP="00962335">
      <w:pPr>
        <w:ind w:right="30"/>
        <w:jc w:val="both"/>
        <w:rPr>
          <w:rFonts w:cs="Arabic Typesetting"/>
          <w:lang w:bidi="fa-IR"/>
        </w:rPr>
      </w:pPr>
    </w:p>
    <w:p w:rsidR="0045252C" w:rsidRDefault="0045252C" w:rsidP="00962335">
      <w:pPr>
        <w:ind w:right="30"/>
        <w:jc w:val="both"/>
        <w:rPr>
          <w:rFonts w:cs="Arabic Typesetting"/>
          <w:lang w:bidi="fa-IR"/>
        </w:rPr>
      </w:pPr>
    </w:p>
    <w:p w:rsidR="0045252C" w:rsidRDefault="0045252C" w:rsidP="00962335">
      <w:pPr>
        <w:ind w:right="30"/>
        <w:jc w:val="both"/>
        <w:rPr>
          <w:rFonts w:cs="Arabic Typesetting"/>
          <w:lang w:bidi="fa-IR"/>
        </w:rPr>
      </w:pPr>
    </w:p>
    <w:p w:rsidR="0045252C" w:rsidRDefault="002714FA" w:rsidP="00962335">
      <w:pPr>
        <w:ind w:right="30"/>
        <w:jc w:val="both"/>
        <w:rPr>
          <w:rFonts w:cs="Arabic Typesetting"/>
          <w:lang w:bidi="fa-IR"/>
        </w:rPr>
      </w:pPr>
      <w:r>
        <w:rPr>
          <w:noProof/>
        </w:rPr>
        <w:lastRenderedPageBreak/>
        <w:drawing>
          <wp:inline distT="0" distB="0" distL="0" distR="0">
            <wp:extent cx="2286000" cy="1466850"/>
            <wp:effectExtent l="0" t="0" r="0" b="0"/>
            <wp:docPr id="3"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14FA" w:rsidRPr="00712561" w:rsidRDefault="002714FA" w:rsidP="002714FA">
      <w:pPr>
        <w:ind w:right="30"/>
        <w:jc w:val="both"/>
        <w:rPr>
          <w:rFonts w:cs="Arabic Typesetting"/>
          <w:sz w:val="16"/>
          <w:szCs w:val="16"/>
          <w:lang w:bidi="fa-IR"/>
        </w:rPr>
      </w:pPr>
      <w:r w:rsidRPr="00675CBE">
        <w:rPr>
          <w:rFonts w:cs="Arabic Typesetting"/>
          <w:sz w:val="16"/>
          <w:szCs w:val="16"/>
          <w:lang w:bidi="fa-IR"/>
        </w:rPr>
        <w:t>Source: Da Afghanistan Bank/NSIA</w:t>
      </w:r>
    </w:p>
    <w:p w:rsidR="0045252C" w:rsidRDefault="0045252C" w:rsidP="00962335">
      <w:pPr>
        <w:ind w:right="30"/>
        <w:jc w:val="both"/>
        <w:rPr>
          <w:rFonts w:cs="Arabic Typesetting"/>
          <w:lang w:bidi="fa-IR"/>
        </w:rPr>
      </w:pPr>
    </w:p>
    <w:p w:rsidR="00B47343" w:rsidRDefault="00B47343" w:rsidP="00962335">
      <w:pPr>
        <w:ind w:right="30"/>
        <w:jc w:val="both"/>
        <w:rPr>
          <w:rFonts w:cs="Arabic Typesetting"/>
          <w:lang w:bidi="fa-IR"/>
        </w:rPr>
      </w:pPr>
    </w:p>
    <w:p w:rsidR="00B96FC3" w:rsidRDefault="00B96FC3" w:rsidP="00962335">
      <w:pPr>
        <w:ind w:right="30"/>
        <w:jc w:val="both"/>
        <w:rPr>
          <w:rFonts w:cs="Arabic Typesetting"/>
          <w:lang w:bidi="fa-IR"/>
        </w:rPr>
      </w:pPr>
    </w:p>
    <w:p w:rsidR="00B96FC3" w:rsidRDefault="00B96FC3" w:rsidP="00962335">
      <w:pPr>
        <w:ind w:right="30"/>
        <w:jc w:val="both"/>
        <w:rPr>
          <w:rFonts w:cs="Arabic Typesetting"/>
          <w:lang w:bidi="fa-IR"/>
        </w:rPr>
      </w:pPr>
    </w:p>
    <w:p w:rsidR="00E62BBF" w:rsidRDefault="00E62BBF" w:rsidP="00AA3F69">
      <w:pPr>
        <w:ind w:right="30"/>
        <w:jc w:val="both"/>
        <w:rPr>
          <w:rFonts w:eastAsia="Times New Roman" w:cs="Times New Roman"/>
          <w:i/>
          <w:iCs/>
          <w:color w:val="000000"/>
          <w:sz w:val="16"/>
          <w:szCs w:val="16"/>
        </w:rPr>
      </w:pPr>
    </w:p>
    <w:p w:rsidR="00564A09" w:rsidRDefault="00564A09" w:rsidP="00564A09">
      <w:pPr>
        <w:ind w:right="30"/>
        <w:jc w:val="both"/>
        <w:rPr>
          <w:rFonts w:eastAsia="Times New Roman" w:cs="Times New Roman"/>
          <w:b/>
          <w:bCs/>
          <w:color w:val="000000"/>
          <w:sz w:val="20"/>
          <w:szCs w:val="20"/>
        </w:rPr>
      </w:pPr>
    </w:p>
    <w:p w:rsidR="00387AE6" w:rsidRDefault="00387AE6" w:rsidP="00564A09">
      <w:pPr>
        <w:ind w:right="30"/>
        <w:jc w:val="both"/>
        <w:rPr>
          <w:rFonts w:eastAsia="Times New Roman" w:cs="Times New Roman"/>
          <w:b/>
          <w:bCs/>
          <w:color w:val="000000"/>
          <w:sz w:val="20"/>
          <w:szCs w:val="20"/>
        </w:rPr>
      </w:pPr>
    </w:p>
    <w:p w:rsidR="00387AE6" w:rsidRDefault="00387AE6" w:rsidP="00564A09">
      <w:pPr>
        <w:ind w:right="30"/>
        <w:jc w:val="both"/>
        <w:rPr>
          <w:rFonts w:eastAsia="Times New Roman" w:cs="Times New Roman"/>
          <w:b/>
          <w:bCs/>
          <w:color w:val="000000"/>
          <w:sz w:val="20"/>
          <w:szCs w:val="20"/>
        </w:rPr>
      </w:pPr>
    </w:p>
    <w:p w:rsidR="00387AE6" w:rsidRDefault="00387AE6" w:rsidP="00564A09">
      <w:pPr>
        <w:ind w:right="30"/>
        <w:jc w:val="both"/>
        <w:rPr>
          <w:rFonts w:eastAsia="Times New Roman" w:cs="Times New Roman"/>
          <w:b/>
          <w:bCs/>
          <w:color w:val="000000"/>
          <w:sz w:val="20"/>
          <w:szCs w:val="20"/>
        </w:rPr>
      </w:pPr>
    </w:p>
    <w:p w:rsidR="00BB6C77" w:rsidRDefault="00BB6C77" w:rsidP="00E5398C">
      <w:pPr>
        <w:ind w:right="30"/>
        <w:jc w:val="both"/>
        <w:rPr>
          <w:rFonts w:cs="Arabic Typesetting"/>
          <w:lang w:bidi="fa-IR"/>
        </w:rPr>
      </w:pPr>
    </w:p>
    <w:p w:rsidR="00175171" w:rsidRDefault="00175171" w:rsidP="007F7085">
      <w:pPr>
        <w:spacing w:after="0" w:line="240" w:lineRule="auto"/>
        <w:rPr>
          <w:rFonts w:eastAsia="Times New Roman" w:cs="Times New Roman"/>
          <w:color w:val="000000"/>
        </w:rPr>
      </w:pPr>
    </w:p>
    <w:p w:rsidR="00FE263E" w:rsidRDefault="00FE263E" w:rsidP="00B7093D">
      <w:pPr>
        <w:ind w:right="30"/>
        <w:jc w:val="both"/>
        <w:rPr>
          <w:rFonts w:cs="Arabic Typesetting"/>
          <w:lang w:bidi="fa-IR"/>
        </w:rPr>
        <w:sectPr w:rsidR="00FE263E" w:rsidSect="00B7093D">
          <w:type w:val="continuous"/>
          <w:pgSz w:w="12240" w:h="15840"/>
          <w:pgMar w:top="1440" w:right="1440" w:bottom="1440" w:left="1440" w:header="720" w:footer="720" w:gutter="0"/>
          <w:cols w:num="2" w:space="432" w:equalWidth="0">
            <w:col w:w="5616" w:space="432"/>
            <w:col w:w="3312"/>
          </w:cols>
          <w:docGrid w:linePitch="360"/>
        </w:sectPr>
      </w:pPr>
    </w:p>
    <w:p w:rsidR="00BB3727" w:rsidRPr="00537EF2" w:rsidRDefault="002815F5" w:rsidP="00BB3727">
      <w:pPr>
        <w:ind w:right="30"/>
        <w:jc w:val="both"/>
        <w:rPr>
          <w:rFonts w:cs="Arabic Typesetting"/>
          <w:lang w:bidi="fa-IR"/>
        </w:rPr>
      </w:pPr>
      <w:bookmarkStart w:id="5" w:name="OLE_LINK1"/>
      <w:bookmarkStart w:id="6" w:name="OLE_LINK2"/>
      <w:r>
        <w:rPr>
          <w:noProof/>
        </w:rPr>
        <w:lastRenderedPageBreak/>
        <w:drawing>
          <wp:anchor distT="0" distB="0" distL="114300" distR="114300" simplePos="0" relativeHeight="251664384" behindDoc="1" locked="0" layoutInCell="1" allowOverlap="1">
            <wp:simplePos x="0" y="0"/>
            <wp:positionH relativeFrom="column">
              <wp:posOffset>-28575</wp:posOffset>
            </wp:positionH>
            <wp:positionV relativeFrom="paragraph">
              <wp:posOffset>0</wp:posOffset>
            </wp:positionV>
            <wp:extent cx="2057400" cy="1117600"/>
            <wp:effectExtent l="0" t="0" r="0" b="6350"/>
            <wp:wrapTight wrapText="bothSides">
              <wp:wrapPolygon edited="0">
                <wp:start x="0" y="0"/>
                <wp:lineTo x="0" y="21355"/>
                <wp:lineTo x="21400" y="21355"/>
                <wp:lineTo x="21400" y="0"/>
                <wp:lineTo x="0" y="0"/>
              </wp:wrapPolygon>
            </wp:wrapTight>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BB3727" w:rsidRPr="00A03BAE">
        <w:rPr>
          <w:rFonts w:eastAsia="Times New Roman" w:cs="Times New Roman"/>
          <w:b/>
          <w:bCs/>
          <w:color w:val="000000"/>
          <w:sz w:val="20"/>
          <w:szCs w:val="20"/>
        </w:rPr>
        <w:t>Sour</w:t>
      </w:r>
      <w:r w:rsidR="00BB3727">
        <w:rPr>
          <w:rFonts w:eastAsia="Times New Roman" w:cs="Times New Roman"/>
          <w:b/>
          <w:bCs/>
          <w:color w:val="000000"/>
          <w:sz w:val="20"/>
          <w:szCs w:val="20"/>
        </w:rPr>
        <w:t>c</w:t>
      </w:r>
      <w:r w:rsidR="00BB3727" w:rsidRPr="00A03BAE">
        <w:rPr>
          <w:rFonts w:eastAsia="Times New Roman" w:cs="Times New Roman"/>
          <w:b/>
          <w:bCs/>
          <w:color w:val="000000"/>
          <w:sz w:val="20"/>
          <w:szCs w:val="20"/>
        </w:rPr>
        <w:t>e:</w:t>
      </w:r>
      <w:r w:rsidR="00BB3727" w:rsidRPr="00A03BAE">
        <w:rPr>
          <w:rFonts w:eastAsia="Times New Roman" w:cs="Times New Roman"/>
          <w:i/>
          <w:iCs/>
          <w:color w:val="000000"/>
          <w:sz w:val="16"/>
          <w:szCs w:val="16"/>
        </w:rPr>
        <w:t xml:space="preserve"> Da Afghanistan Bank and/</w:t>
      </w:r>
      <w:r w:rsidR="00BB3727">
        <w:rPr>
          <w:rFonts w:eastAsia="Times New Roman" w:cs="Times New Roman"/>
          <w:i/>
          <w:iCs/>
          <w:color w:val="000000"/>
          <w:sz w:val="16"/>
          <w:szCs w:val="16"/>
        </w:rPr>
        <w:t>NSIA</w:t>
      </w:r>
    </w:p>
    <w:p w:rsidR="00161A1D" w:rsidRPr="00A377E3" w:rsidRDefault="00161A1D" w:rsidP="002815F5">
      <w:pPr>
        <w:jc w:val="both"/>
      </w:pPr>
      <w:bookmarkStart w:id="7" w:name="_Toc91670358"/>
      <w:bookmarkEnd w:id="5"/>
      <w:bookmarkEnd w:id="6"/>
      <w:r w:rsidRPr="002815F5">
        <w:rPr>
          <w:rStyle w:val="Heading1Char"/>
          <w:rFonts w:eastAsia="Calibri"/>
        </w:rPr>
        <w:lastRenderedPageBreak/>
        <w:t>FOOD INFLATION</w:t>
      </w:r>
      <w:bookmarkEnd w:id="7"/>
      <w:r w:rsidR="002815F5" w:rsidRPr="002815F5">
        <w:rPr>
          <w:b/>
          <w:bCs/>
        </w:rPr>
        <w:t xml:space="preserve">: </w:t>
      </w:r>
      <w:r w:rsidR="002815F5" w:rsidRPr="002815F5">
        <w:t>D</w:t>
      </w:r>
      <w:r w:rsidRPr="002815F5">
        <w:t>ecreased</w:t>
      </w:r>
      <w:r w:rsidRPr="00A377E3">
        <w:t xml:space="preserve"> in </w:t>
      </w:r>
      <w:r w:rsidR="007A13F5">
        <w:t xml:space="preserve">month of </w:t>
      </w:r>
      <w:r w:rsidRPr="00A377E3">
        <w:t>July 2020. Food and beverages items are weighted for 47.8 percent of the overall index. Food inflation in</w:t>
      </w:r>
      <w:r w:rsidRPr="00A377E3">
        <w:rPr>
          <w:lang w:bidi="ps-AF"/>
        </w:rPr>
        <w:t xml:space="preserve"> July 2020</w:t>
      </w:r>
      <w:r w:rsidRPr="00A377E3">
        <w:t xml:space="preserve">, when measured on year over year basis, </w:t>
      </w:r>
      <w:r w:rsidRPr="00A377E3">
        <w:lastRenderedPageBreak/>
        <w:t xml:space="preserve">decreased to 12.71 percent compared to 12.88 percent calculated in previous month. This decreases come from lower prices of bread and cereals, milk, cheese and eggs, oils and fats, vegetables, sugar and sweets, and spices. </w:t>
      </w:r>
    </w:p>
    <w:p w:rsidR="000B61DB" w:rsidRDefault="000B61DB" w:rsidP="00D9711C">
      <w:pPr>
        <w:bidi/>
        <w:spacing w:before="120" w:after="120" w:line="360" w:lineRule="atLeast"/>
        <w:jc w:val="both"/>
        <w:rPr>
          <w:color w:val="548DD4"/>
        </w:rPr>
      </w:pPr>
    </w:p>
    <w:p w:rsidR="00F3628B" w:rsidRPr="002D6D24" w:rsidRDefault="00F3628B" w:rsidP="00F3628B">
      <w:pPr>
        <w:bidi/>
        <w:spacing w:before="120" w:after="120" w:line="360" w:lineRule="atLeast"/>
        <w:jc w:val="both"/>
        <w:rPr>
          <w:color w:val="548DD4"/>
        </w:rPr>
        <w:sectPr w:rsidR="00F3628B" w:rsidRPr="002D6D24" w:rsidSect="002046E0">
          <w:type w:val="continuous"/>
          <w:pgSz w:w="12240" w:h="15840"/>
          <w:pgMar w:top="1440" w:right="1440" w:bottom="1440" w:left="1440" w:header="720" w:footer="720" w:gutter="0"/>
          <w:cols w:num="2" w:space="432" w:equalWidth="0">
            <w:col w:w="3312" w:space="432"/>
            <w:col w:w="5616"/>
          </w:cols>
          <w:docGrid w:linePitch="360"/>
        </w:sectPr>
      </w:pPr>
    </w:p>
    <w:tbl>
      <w:tblPr>
        <w:tblW w:w="10399" w:type="dxa"/>
        <w:jc w:val="center"/>
        <w:tblLook w:val="04A0"/>
      </w:tblPr>
      <w:tblGrid>
        <w:gridCol w:w="4839"/>
        <w:gridCol w:w="1236"/>
        <w:gridCol w:w="1069"/>
        <w:gridCol w:w="1093"/>
        <w:gridCol w:w="1069"/>
        <w:gridCol w:w="1093"/>
      </w:tblGrid>
      <w:tr w:rsidR="002046E0" w:rsidRPr="00F74A03" w:rsidTr="009234DF">
        <w:trPr>
          <w:trHeight w:val="276"/>
          <w:jc w:val="center"/>
        </w:trPr>
        <w:tc>
          <w:tcPr>
            <w:tcW w:w="10399" w:type="dxa"/>
            <w:gridSpan w:val="6"/>
            <w:tcBorders>
              <w:top w:val="nil"/>
              <w:left w:val="nil"/>
              <w:right w:val="nil"/>
            </w:tcBorders>
            <w:shd w:val="clear" w:color="auto" w:fill="DBE5F1"/>
            <w:noWrap/>
            <w:vAlign w:val="center"/>
            <w:hideMark/>
          </w:tcPr>
          <w:p w:rsidR="002046E0" w:rsidRPr="00A03BAE" w:rsidRDefault="002815F5" w:rsidP="00161A1D">
            <w:pPr>
              <w:spacing w:after="0" w:line="240" w:lineRule="auto"/>
              <w:rPr>
                <w:rFonts w:eastAsia="Times New Roman" w:cs="Times New Roman"/>
                <w:b/>
                <w:bCs/>
                <w:color w:val="1F497D"/>
              </w:rPr>
            </w:pPr>
            <w:r>
              <w:rPr>
                <w:rFonts w:eastAsia="Times New Roman" w:cs="Times New Roman"/>
                <w:b/>
                <w:bCs/>
                <w:color w:val="1F497D"/>
              </w:rPr>
              <w:lastRenderedPageBreak/>
              <w:t>Table 2.</w:t>
            </w:r>
            <w:r w:rsidR="002046E0" w:rsidRPr="00A03BAE">
              <w:rPr>
                <w:rFonts w:eastAsia="Times New Roman" w:cs="Times New Roman"/>
                <w:b/>
                <w:bCs/>
                <w:color w:val="1F497D"/>
              </w:rPr>
              <w:t xml:space="preserve">Food </w:t>
            </w:r>
            <w:r w:rsidR="0045252C">
              <w:rPr>
                <w:rFonts w:eastAsia="Times New Roman" w:cs="Times New Roman"/>
                <w:b/>
                <w:bCs/>
                <w:color w:val="1F497D"/>
              </w:rPr>
              <w:t xml:space="preserve"> and Non-alcoholic beverage </w:t>
            </w:r>
            <w:r w:rsidR="002046E0" w:rsidRPr="00A03BAE">
              <w:rPr>
                <w:rFonts w:eastAsia="Times New Roman" w:cs="Times New Roman"/>
                <w:b/>
                <w:bCs/>
                <w:color w:val="1F497D"/>
              </w:rPr>
              <w:t>Inflation</w:t>
            </w:r>
            <w:r w:rsidR="00467147" w:rsidRPr="000B61DB">
              <w:rPr>
                <w:rFonts w:eastAsia="Times New Roman" w:cs="Times New Roman"/>
                <w:b/>
                <w:bCs/>
                <w:color w:val="1F497D"/>
              </w:rPr>
              <w:t>(</w:t>
            </w:r>
            <w:r w:rsidR="00161A1D">
              <w:rPr>
                <w:rFonts w:eastAsia="Times New Roman" w:cs="Times New Roman"/>
                <w:b/>
                <w:bCs/>
                <w:color w:val="1F497D"/>
              </w:rPr>
              <w:t>June 20- July</w:t>
            </w:r>
            <w:r w:rsidR="00333654">
              <w:rPr>
                <w:rFonts w:eastAsia="Times New Roman" w:cs="Times New Roman"/>
                <w:b/>
                <w:bCs/>
                <w:color w:val="1F497D"/>
              </w:rPr>
              <w:t xml:space="preserve"> 20) </w:t>
            </w:r>
          </w:p>
        </w:tc>
      </w:tr>
      <w:tr w:rsidR="00161A1D" w:rsidRPr="00F74A03" w:rsidTr="009234DF">
        <w:trPr>
          <w:trHeight w:val="169"/>
          <w:jc w:val="center"/>
        </w:trPr>
        <w:tc>
          <w:tcPr>
            <w:tcW w:w="4839" w:type="dxa"/>
            <w:vMerge w:val="restart"/>
            <w:shd w:val="clear" w:color="auto" w:fill="8DB3E2"/>
            <w:noWrap/>
            <w:vAlign w:val="center"/>
            <w:hideMark/>
          </w:tcPr>
          <w:p w:rsidR="00161A1D" w:rsidRPr="00A03BAE" w:rsidRDefault="00161A1D" w:rsidP="00594443">
            <w:pPr>
              <w:spacing w:after="0" w:line="240" w:lineRule="auto"/>
              <w:jc w:val="center"/>
              <w:rPr>
                <w:rFonts w:eastAsia="Times New Roman" w:cs="Times New Roman"/>
                <w:b/>
                <w:bCs/>
                <w:color w:val="000000"/>
                <w:sz w:val="20"/>
                <w:szCs w:val="20"/>
              </w:rPr>
            </w:pPr>
            <w:r w:rsidRPr="00A03BAE">
              <w:rPr>
                <w:rFonts w:eastAsia="Times New Roman" w:cs="Times New Roman"/>
                <w:b/>
                <w:bCs/>
                <w:color w:val="000000"/>
                <w:sz w:val="20"/>
                <w:szCs w:val="20"/>
              </w:rPr>
              <w:t>Items</w:t>
            </w:r>
          </w:p>
        </w:tc>
        <w:tc>
          <w:tcPr>
            <w:tcW w:w="1236" w:type="dxa"/>
            <w:vMerge w:val="restart"/>
            <w:shd w:val="clear" w:color="auto" w:fill="8DB3E2"/>
            <w:noWrap/>
            <w:vAlign w:val="center"/>
            <w:hideMark/>
          </w:tcPr>
          <w:p w:rsidR="00161A1D" w:rsidRPr="00B6688F" w:rsidRDefault="00161A1D" w:rsidP="00CF007B">
            <w:pPr>
              <w:spacing w:after="0" w:line="240" w:lineRule="auto"/>
              <w:jc w:val="center"/>
              <w:rPr>
                <w:rFonts w:eastAsia="Times New Roman" w:cs="Times New Roman"/>
                <w:b/>
                <w:bCs/>
                <w:sz w:val="20"/>
                <w:szCs w:val="20"/>
              </w:rPr>
            </w:pPr>
            <w:r w:rsidRPr="00B6688F">
              <w:rPr>
                <w:rFonts w:eastAsia="Times New Roman" w:cs="Times New Roman"/>
                <w:b/>
                <w:bCs/>
                <w:sz w:val="20"/>
                <w:szCs w:val="20"/>
              </w:rPr>
              <w:t>Weight</w:t>
            </w:r>
          </w:p>
        </w:tc>
        <w:tc>
          <w:tcPr>
            <w:tcW w:w="2162" w:type="dxa"/>
            <w:gridSpan w:val="2"/>
            <w:shd w:val="clear" w:color="auto" w:fill="8DB3E2"/>
            <w:noWrap/>
            <w:vAlign w:val="center"/>
            <w:hideMark/>
          </w:tcPr>
          <w:p w:rsidR="00161A1D" w:rsidRPr="00B6688F" w:rsidRDefault="00161A1D" w:rsidP="00CF007B">
            <w:pPr>
              <w:spacing w:after="0" w:line="240" w:lineRule="auto"/>
              <w:jc w:val="center"/>
              <w:rPr>
                <w:rFonts w:eastAsia="Times New Roman" w:cs="Times New Roman"/>
                <w:b/>
                <w:bCs/>
                <w:sz w:val="20"/>
                <w:szCs w:val="20"/>
              </w:rPr>
            </w:pPr>
            <w:r>
              <w:rPr>
                <w:rFonts w:eastAsia="Times New Roman" w:cs="Times New Roman"/>
                <w:b/>
                <w:bCs/>
                <w:sz w:val="20"/>
                <w:szCs w:val="20"/>
              </w:rPr>
              <w:t>Y-o</w:t>
            </w:r>
            <w:r w:rsidRPr="00B6688F">
              <w:rPr>
                <w:rFonts w:eastAsia="Times New Roman" w:cs="Times New Roman"/>
                <w:b/>
                <w:bCs/>
                <w:sz w:val="20"/>
                <w:szCs w:val="20"/>
              </w:rPr>
              <w:t>-Y</w:t>
            </w:r>
          </w:p>
        </w:tc>
        <w:tc>
          <w:tcPr>
            <w:tcW w:w="2162" w:type="dxa"/>
            <w:gridSpan w:val="2"/>
            <w:shd w:val="clear" w:color="auto" w:fill="8DB3E2"/>
            <w:noWrap/>
            <w:vAlign w:val="center"/>
            <w:hideMark/>
          </w:tcPr>
          <w:p w:rsidR="00161A1D" w:rsidRPr="00B6688F" w:rsidRDefault="00161A1D" w:rsidP="00CF007B">
            <w:pPr>
              <w:spacing w:after="0" w:line="240" w:lineRule="auto"/>
              <w:jc w:val="center"/>
              <w:rPr>
                <w:rFonts w:eastAsia="Times New Roman" w:cs="Times New Roman"/>
                <w:b/>
                <w:bCs/>
                <w:sz w:val="20"/>
                <w:szCs w:val="20"/>
              </w:rPr>
            </w:pPr>
            <w:r w:rsidRPr="00B6688F">
              <w:rPr>
                <w:rFonts w:eastAsia="Times New Roman" w:cs="Times New Roman"/>
                <w:b/>
                <w:bCs/>
                <w:sz w:val="20"/>
                <w:szCs w:val="20"/>
              </w:rPr>
              <w:t>M-to-M</w:t>
            </w:r>
          </w:p>
        </w:tc>
      </w:tr>
      <w:tr w:rsidR="00161A1D" w:rsidRPr="00F74A03" w:rsidTr="009234DF">
        <w:trPr>
          <w:trHeight w:val="282"/>
          <w:jc w:val="center"/>
        </w:trPr>
        <w:tc>
          <w:tcPr>
            <w:tcW w:w="4839" w:type="dxa"/>
            <w:vMerge/>
            <w:tcBorders>
              <w:bottom w:val="single" w:sz="4" w:space="0" w:color="auto"/>
            </w:tcBorders>
            <w:shd w:val="clear" w:color="auto" w:fill="8DB3E2"/>
            <w:vAlign w:val="center"/>
            <w:hideMark/>
          </w:tcPr>
          <w:p w:rsidR="00161A1D" w:rsidRPr="00A03BAE" w:rsidRDefault="00161A1D" w:rsidP="00594443">
            <w:pPr>
              <w:spacing w:after="0" w:line="240" w:lineRule="auto"/>
              <w:rPr>
                <w:rFonts w:eastAsia="Times New Roman" w:cs="Times New Roman"/>
                <w:b/>
                <w:bCs/>
                <w:color w:val="000000"/>
                <w:sz w:val="20"/>
                <w:szCs w:val="20"/>
              </w:rPr>
            </w:pPr>
          </w:p>
        </w:tc>
        <w:tc>
          <w:tcPr>
            <w:tcW w:w="1236" w:type="dxa"/>
            <w:vMerge/>
            <w:tcBorders>
              <w:bottom w:val="single" w:sz="4" w:space="0" w:color="auto"/>
            </w:tcBorders>
            <w:shd w:val="clear" w:color="auto" w:fill="8DB3E2"/>
            <w:vAlign w:val="center"/>
            <w:hideMark/>
          </w:tcPr>
          <w:p w:rsidR="00161A1D" w:rsidRPr="00B6688F" w:rsidRDefault="00161A1D" w:rsidP="00594443">
            <w:pPr>
              <w:spacing w:after="0" w:line="240" w:lineRule="auto"/>
              <w:rPr>
                <w:rFonts w:eastAsia="Times New Roman" w:cs="Times New Roman"/>
                <w:b/>
                <w:bCs/>
                <w:sz w:val="20"/>
                <w:szCs w:val="20"/>
              </w:rPr>
            </w:pPr>
          </w:p>
        </w:tc>
        <w:tc>
          <w:tcPr>
            <w:tcW w:w="1069" w:type="dxa"/>
            <w:tcBorders>
              <w:bottom w:val="single" w:sz="4" w:space="0" w:color="auto"/>
            </w:tcBorders>
            <w:shd w:val="clear" w:color="auto" w:fill="8DB3E2"/>
            <w:noWrap/>
            <w:vAlign w:val="center"/>
            <w:hideMark/>
          </w:tcPr>
          <w:p w:rsidR="00161A1D" w:rsidRPr="00B6688F" w:rsidRDefault="00161A1D" w:rsidP="00C756FB">
            <w:pPr>
              <w:spacing w:after="0" w:line="240" w:lineRule="auto"/>
              <w:jc w:val="center"/>
              <w:rPr>
                <w:rFonts w:eastAsia="Times New Roman" w:cs="Times New Roman"/>
                <w:b/>
                <w:bCs/>
                <w:sz w:val="20"/>
                <w:szCs w:val="20"/>
              </w:rPr>
            </w:pPr>
            <w:r>
              <w:rPr>
                <w:rFonts w:eastAsia="Times New Roman" w:cs="Times New Roman"/>
                <w:b/>
                <w:bCs/>
                <w:sz w:val="20"/>
                <w:szCs w:val="20"/>
              </w:rPr>
              <w:t xml:space="preserve">June </w:t>
            </w:r>
          </w:p>
        </w:tc>
        <w:tc>
          <w:tcPr>
            <w:tcW w:w="1093" w:type="dxa"/>
            <w:tcBorders>
              <w:bottom w:val="single" w:sz="4" w:space="0" w:color="auto"/>
            </w:tcBorders>
            <w:shd w:val="clear" w:color="auto" w:fill="8DB3E2"/>
            <w:noWrap/>
            <w:vAlign w:val="center"/>
            <w:hideMark/>
          </w:tcPr>
          <w:p w:rsidR="00161A1D" w:rsidRPr="00B6688F" w:rsidRDefault="00161A1D" w:rsidP="00F17A96">
            <w:pPr>
              <w:spacing w:after="0" w:line="240" w:lineRule="auto"/>
              <w:jc w:val="center"/>
              <w:rPr>
                <w:rFonts w:eastAsia="Times New Roman" w:cs="Times New Roman"/>
                <w:b/>
                <w:bCs/>
                <w:sz w:val="20"/>
                <w:szCs w:val="20"/>
              </w:rPr>
            </w:pPr>
            <w:r>
              <w:rPr>
                <w:rFonts w:eastAsia="Times New Roman" w:cs="Times New Roman"/>
                <w:b/>
                <w:bCs/>
                <w:sz w:val="20"/>
                <w:szCs w:val="20"/>
              </w:rPr>
              <w:t>July</w:t>
            </w:r>
          </w:p>
        </w:tc>
        <w:tc>
          <w:tcPr>
            <w:tcW w:w="1069" w:type="dxa"/>
            <w:tcBorders>
              <w:bottom w:val="single" w:sz="4" w:space="0" w:color="auto"/>
            </w:tcBorders>
            <w:shd w:val="clear" w:color="auto" w:fill="8DB3E2"/>
            <w:noWrap/>
            <w:vAlign w:val="center"/>
            <w:hideMark/>
          </w:tcPr>
          <w:p w:rsidR="00161A1D" w:rsidRPr="00B6688F" w:rsidRDefault="00A47555" w:rsidP="00CF007B">
            <w:pPr>
              <w:spacing w:after="0" w:line="240" w:lineRule="auto"/>
              <w:rPr>
                <w:rFonts w:eastAsia="Times New Roman" w:cs="Times New Roman"/>
                <w:b/>
                <w:bCs/>
                <w:sz w:val="20"/>
                <w:szCs w:val="20"/>
              </w:rPr>
            </w:pPr>
            <w:r>
              <w:rPr>
                <w:rFonts w:eastAsia="Times New Roman" w:cs="Times New Roman"/>
                <w:b/>
                <w:bCs/>
                <w:sz w:val="20"/>
                <w:szCs w:val="20"/>
              </w:rPr>
              <w:t>June</w:t>
            </w:r>
          </w:p>
        </w:tc>
        <w:tc>
          <w:tcPr>
            <w:tcW w:w="1093" w:type="dxa"/>
            <w:tcBorders>
              <w:bottom w:val="single" w:sz="4" w:space="0" w:color="auto"/>
            </w:tcBorders>
            <w:shd w:val="clear" w:color="auto" w:fill="8DB3E2"/>
            <w:noWrap/>
            <w:vAlign w:val="center"/>
            <w:hideMark/>
          </w:tcPr>
          <w:p w:rsidR="00161A1D" w:rsidRPr="00B6688F" w:rsidRDefault="00A47555" w:rsidP="00CF007B">
            <w:pPr>
              <w:spacing w:after="0" w:line="240" w:lineRule="auto"/>
              <w:jc w:val="center"/>
              <w:rPr>
                <w:rFonts w:eastAsia="Times New Roman" w:cs="Times New Roman"/>
                <w:b/>
                <w:bCs/>
                <w:sz w:val="20"/>
                <w:szCs w:val="20"/>
              </w:rPr>
            </w:pPr>
            <w:r>
              <w:rPr>
                <w:rFonts w:eastAsia="Times New Roman" w:cs="Times New Roman"/>
                <w:b/>
                <w:bCs/>
                <w:sz w:val="20"/>
                <w:szCs w:val="20"/>
              </w:rPr>
              <w:t>July</w:t>
            </w:r>
          </w:p>
        </w:tc>
      </w:tr>
      <w:tr w:rsidR="00161A1D" w:rsidRPr="00F74A03" w:rsidTr="009234DF">
        <w:trPr>
          <w:trHeight w:val="279"/>
          <w:jc w:val="center"/>
        </w:trPr>
        <w:tc>
          <w:tcPr>
            <w:tcW w:w="4839" w:type="dxa"/>
            <w:tcBorders>
              <w:top w:val="single" w:sz="4" w:space="0" w:color="auto"/>
              <w:bottom w:val="nil"/>
            </w:tcBorders>
            <w:shd w:val="clear" w:color="auto" w:fill="auto"/>
            <w:noWrap/>
            <w:vAlign w:val="bottom"/>
            <w:hideMark/>
          </w:tcPr>
          <w:p w:rsidR="00161A1D" w:rsidRPr="00A03BAE" w:rsidRDefault="00161A1D" w:rsidP="00594443">
            <w:pPr>
              <w:spacing w:after="0" w:line="240" w:lineRule="auto"/>
              <w:rPr>
                <w:rFonts w:eastAsia="Times New Roman" w:cs="Times New Roman"/>
                <w:b/>
                <w:bCs/>
                <w:color w:val="000000"/>
              </w:rPr>
            </w:pPr>
            <w:r w:rsidRPr="00A03BAE">
              <w:rPr>
                <w:rFonts w:eastAsia="Times New Roman" w:cs="Times New Roman"/>
                <w:b/>
                <w:bCs/>
                <w:color w:val="000000"/>
              </w:rPr>
              <w:t xml:space="preserve">Food and </w:t>
            </w:r>
            <w:r>
              <w:rPr>
                <w:rFonts w:eastAsia="Times New Roman" w:cs="Times New Roman"/>
                <w:b/>
                <w:bCs/>
                <w:color w:val="000000"/>
              </w:rPr>
              <w:t>Non-alcoholic B</w:t>
            </w:r>
            <w:r w:rsidRPr="00A03BAE">
              <w:rPr>
                <w:rFonts w:eastAsia="Times New Roman" w:cs="Times New Roman"/>
                <w:b/>
                <w:bCs/>
                <w:color w:val="000000"/>
              </w:rPr>
              <w:t>everages</w:t>
            </w:r>
          </w:p>
        </w:tc>
        <w:tc>
          <w:tcPr>
            <w:tcW w:w="1236" w:type="dxa"/>
            <w:tcBorders>
              <w:top w:val="single" w:sz="4" w:space="0" w:color="auto"/>
              <w:bottom w:val="nil"/>
            </w:tcBorders>
            <w:shd w:val="clear" w:color="auto" w:fill="auto"/>
            <w:noWrap/>
            <w:vAlign w:val="center"/>
            <w:hideMark/>
          </w:tcPr>
          <w:p w:rsidR="00161A1D" w:rsidRPr="00B6688F" w:rsidRDefault="00161A1D" w:rsidP="00CF007B">
            <w:pPr>
              <w:spacing w:after="0" w:line="240" w:lineRule="auto"/>
              <w:jc w:val="center"/>
              <w:rPr>
                <w:rFonts w:eastAsia="Times New Roman" w:cs="Times New Roman"/>
                <w:sz w:val="18"/>
                <w:szCs w:val="18"/>
              </w:rPr>
            </w:pPr>
            <w:r w:rsidRPr="00B6688F">
              <w:rPr>
                <w:rFonts w:eastAsia="Times New Roman" w:cs="Times New Roman"/>
                <w:sz w:val="18"/>
                <w:szCs w:val="18"/>
              </w:rPr>
              <w:t>47.8</w:t>
            </w:r>
          </w:p>
        </w:tc>
        <w:tc>
          <w:tcPr>
            <w:tcW w:w="1069" w:type="dxa"/>
            <w:tcBorders>
              <w:top w:val="single" w:sz="4" w:space="0" w:color="auto"/>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12.88</w:t>
            </w:r>
          </w:p>
        </w:tc>
        <w:tc>
          <w:tcPr>
            <w:tcW w:w="1093" w:type="dxa"/>
            <w:tcBorders>
              <w:top w:val="single" w:sz="4" w:space="0" w:color="auto"/>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12.71</w:t>
            </w:r>
          </w:p>
        </w:tc>
        <w:tc>
          <w:tcPr>
            <w:tcW w:w="1069" w:type="dxa"/>
            <w:tcBorders>
              <w:top w:val="single" w:sz="4" w:space="0" w:color="auto"/>
              <w:bottom w:val="nil"/>
            </w:tcBorders>
            <w:shd w:val="clear" w:color="000000" w:fill="FFFFFF"/>
            <w:noWrap/>
            <w:vAlign w:val="center"/>
            <w:hideMark/>
          </w:tcPr>
          <w:p w:rsidR="00161A1D" w:rsidRPr="003B0E3E" w:rsidRDefault="00876754" w:rsidP="00876754">
            <w:pPr>
              <w:spacing w:after="0" w:line="240" w:lineRule="auto"/>
              <w:jc w:val="center"/>
              <w:rPr>
                <w:rFonts w:eastAsia="Times New Roman" w:cs="Times New Roman"/>
                <w:sz w:val="18"/>
                <w:szCs w:val="18"/>
                <w:highlight w:val="yellow"/>
              </w:rPr>
            </w:pPr>
            <w:r w:rsidRPr="00876754">
              <w:rPr>
                <w:rFonts w:eastAsia="Times New Roman" w:cs="Times New Roman"/>
                <w:sz w:val="18"/>
                <w:szCs w:val="18"/>
              </w:rPr>
              <w:t>-1.87</w:t>
            </w:r>
          </w:p>
        </w:tc>
        <w:tc>
          <w:tcPr>
            <w:tcW w:w="1093" w:type="dxa"/>
            <w:tcBorders>
              <w:top w:val="single" w:sz="4" w:space="0" w:color="auto"/>
              <w:bottom w:val="nil"/>
            </w:tcBorders>
            <w:shd w:val="clear" w:color="000000" w:fill="FFFFFF"/>
            <w:noWrap/>
            <w:vAlign w:val="center"/>
            <w:hideMark/>
          </w:tcPr>
          <w:p w:rsidR="00161A1D" w:rsidRPr="003B0E3E" w:rsidRDefault="00876754" w:rsidP="00CF007B">
            <w:pPr>
              <w:spacing w:after="0" w:line="240" w:lineRule="auto"/>
              <w:jc w:val="center"/>
              <w:rPr>
                <w:rFonts w:eastAsia="Times New Roman" w:cs="Times New Roman"/>
                <w:sz w:val="18"/>
                <w:szCs w:val="18"/>
                <w:highlight w:val="yellow"/>
              </w:rPr>
            </w:pPr>
            <w:r w:rsidRPr="00876754">
              <w:rPr>
                <w:rFonts w:eastAsia="Times New Roman" w:cs="Times New Roman"/>
                <w:sz w:val="18"/>
                <w:szCs w:val="18"/>
              </w:rPr>
              <w:t>-1.81</w:t>
            </w:r>
          </w:p>
        </w:tc>
      </w:tr>
      <w:tr w:rsidR="00161A1D" w:rsidRPr="00F74A03" w:rsidTr="009234DF">
        <w:trPr>
          <w:trHeight w:val="279"/>
          <w:jc w:val="center"/>
        </w:trPr>
        <w:tc>
          <w:tcPr>
            <w:tcW w:w="4839" w:type="dxa"/>
            <w:tcBorders>
              <w:top w:val="nil"/>
              <w:bottom w:val="nil"/>
            </w:tcBorders>
            <w:shd w:val="clear" w:color="auto" w:fill="auto"/>
            <w:noWrap/>
            <w:vAlign w:val="bottom"/>
            <w:hideMark/>
          </w:tcPr>
          <w:p w:rsidR="00161A1D" w:rsidRPr="00A03BAE" w:rsidRDefault="00161A1D"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Bread and Cereals</w:t>
            </w:r>
          </w:p>
        </w:tc>
        <w:tc>
          <w:tcPr>
            <w:tcW w:w="1236" w:type="dxa"/>
            <w:tcBorders>
              <w:top w:val="nil"/>
              <w:bottom w:val="nil"/>
            </w:tcBorders>
            <w:shd w:val="clear" w:color="auto" w:fill="auto"/>
            <w:noWrap/>
            <w:vAlign w:val="center"/>
            <w:hideMark/>
          </w:tcPr>
          <w:p w:rsidR="00161A1D" w:rsidRPr="00B6688F" w:rsidRDefault="00161A1D" w:rsidP="00CF007B">
            <w:pPr>
              <w:spacing w:after="0" w:line="240" w:lineRule="auto"/>
              <w:jc w:val="center"/>
              <w:rPr>
                <w:rFonts w:eastAsia="Times New Roman" w:cs="Times New Roman"/>
                <w:sz w:val="18"/>
                <w:szCs w:val="18"/>
              </w:rPr>
            </w:pPr>
            <w:r w:rsidRPr="00B6688F">
              <w:rPr>
                <w:rFonts w:eastAsia="Times New Roman" w:cs="Times New Roman"/>
                <w:sz w:val="18"/>
                <w:szCs w:val="18"/>
              </w:rPr>
              <w:t>14.6</w:t>
            </w:r>
          </w:p>
        </w:tc>
        <w:tc>
          <w:tcPr>
            <w:tcW w:w="1069"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15.78</w:t>
            </w:r>
          </w:p>
        </w:tc>
        <w:tc>
          <w:tcPr>
            <w:tcW w:w="1093"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14.07</w:t>
            </w:r>
          </w:p>
        </w:tc>
        <w:tc>
          <w:tcPr>
            <w:tcW w:w="1069" w:type="dxa"/>
            <w:tcBorders>
              <w:top w:val="nil"/>
              <w:bottom w:val="nil"/>
            </w:tcBorders>
            <w:shd w:val="clear" w:color="000000" w:fill="FFFFFF"/>
            <w:noWrap/>
            <w:vAlign w:val="center"/>
            <w:hideMark/>
          </w:tcPr>
          <w:p w:rsidR="00161A1D" w:rsidRPr="00B6688F" w:rsidRDefault="00876754" w:rsidP="00876754">
            <w:pPr>
              <w:spacing w:after="0" w:line="240" w:lineRule="auto"/>
              <w:jc w:val="center"/>
              <w:rPr>
                <w:rFonts w:eastAsia="Times New Roman" w:cs="Times New Roman"/>
                <w:sz w:val="18"/>
                <w:szCs w:val="18"/>
              </w:rPr>
            </w:pPr>
            <w:r>
              <w:rPr>
                <w:rFonts w:eastAsia="Times New Roman" w:cs="Times New Roman"/>
                <w:sz w:val="18"/>
                <w:szCs w:val="18"/>
              </w:rPr>
              <w:t>1.17</w:t>
            </w:r>
          </w:p>
        </w:tc>
        <w:tc>
          <w:tcPr>
            <w:tcW w:w="1093" w:type="dxa"/>
            <w:tcBorders>
              <w:top w:val="nil"/>
              <w:bottom w:val="nil"/>
            </w:tcBorders>
            <w:shd w:val="clear" w:color="000000" w:fill="FFFFFF"/>
            <w:noWrap/>
            <w:vAlign w:val="center"/>
            <w:hideMark/>
          </w:tcPr>
          <w:p w:rsidR="00161A1D" w:rsidRDefault="00876754" w:rsidP="00CF007B">
            <w:pPr>
              <w:spacing w:after="0" w:line="240" w:lineRule="auto"/>
              <w:jc w:val="center"/>
              <w:rPr>
                <w:rFonts w:eastAsia="Times New Roman" w:cs="Times New Roman"/>
                <w:sz w:val="18"/>
                <w:szCs w:val="18"/>
              </w:rPr>
            </w:pPr>
            <w:r>
              <w:rPr>
                <w:rFonts w:eastAsia="Times New Roman" w:cs="Times New Roman"/>
                <w:sz w:val="18"/>
                <w:szCs w:val="18"/>
              </w:rPr>
              <w:t>-1.41</w:t>
            </w:r>
          </w:p>
        </w:tc>
      </w:tr>
      <w:tr w:rsidR="00161A1D" w:rsidRPr="00F74A03" w:rsidTr="009234DF">
        <w:trPr>
          <w:trHeight w:val="279"/>
          <w:jc w:val="center"/>
        </w:trPr>
        <w:tc>
          <w:tcPr>
            <w:tcW w:w="4839" w:type="dxa"/>
            <w:tcBorders>
              <w:top w:val="nil"/>
              <w:bottom w:val="nil"/>
            </w:tcBorders>
            <w:shd w:val="clear" w:color="auto" w:fill="auto"/>
            <w:noWrap/>
            <w:vAlign w:val="bottom"/>
            <w:hideMark/>
          </w:tcPr>
          <w:p w:rsidR="00161A1D" w:rsidRPr="00A03BAE" w:rsidRDefault="00161A1D"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Meat</w:t>
            </w:r>
          </w:p>
        </w:tc>
        <w:tc>
          <w:tcPr>
            <w:tcW w:w="1236" w:type="dxa"/>
            <w:tcBorders>
              <w:top w:val="nil"/>
              <w:bottom w:val="nil"/>
            </w:tcBorders>
            <w:shd w:val="clear" w:color="auto" w:fill="auto"/>
            <w:noWrap/>
            <w:vAlign w:val="center"/>
            <w:hideMark/>
          </w:tcPr>
          <w:p w:rsidR="00161A1D" w:rsidRPr="00B6688F" w:rsidRDefault="00161A1D" w:rsidP="00CF007B">
            <w:pPr>
              <w:spacing w:after="0" w:line="240" w:lineRule="auto"/>
              <w:jc w:val="center"/>
              <w:rPr>
                <w:rFonts w:eastAsia="Times New Roman" w:cs="Times New Roman"/>
                <w:sz w:val="18"/>
                <w:szCs w:val="18"/>
              </w:rPr>
            </w:pPr>
            <w:r w:rsidRPr="00B6688F">
              <w:rPr>
                <w:rFonts w:eastAsia="Times New Roman" w:cs="Times New Roman"/>
                <w:sz w:val="18"/>
                <w:szCs w:val="18"/>
              </w:rPr>
              <w:t>7.5</w:t>
            </w:r>
          </w:p>
        </w:tc>
        <w:tc>
          <w:tcPr>
            <w:tcW w:w="1069"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12.49</w:t>
            </w:r>
          </w:p>
        </w:tc>
        <w:tc>
          <w:tcPr>
            <w:tcW w:w="1093"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12.63</w:t>
            </w:r>
          </w:p>
        </w:tc>
        <w:tc>
          <w:tcPr>
            <w:tcW w:w="1069" w:type="dxa"/>
            <w:tcBorders>
              <w:top w:val="nil"/>
              <w:bottom w:val="nil"/>
            </w:tcBorders>
            <w:shd w:val="clear" w:color="000000" w:fill="FFFFFF"/>
            <w:noWrap/>
            <w:vAlign w:val="center"/>
            <w:hideMark/>
          </w:tcPr>
          <w:p w:rsidR="00161A1D" w:rsidRPr="00B6688F" w:rsidRDefault="00876754" w:rsidP="00876754">
            <w:pPr>
              <w:spacing w:after="0" w:line="240" w:lineRule="auto"/>
              <w:jc w:val="center"/>
              <w:rPr>
                <w:rFonts w:eastAsia="Times New Roman" w:cs="Times New Roman"/>
                <w:sz w:val="18"/>
                <w:szCs w:val="18"/>
              </w:rPr>
            </w:pPr>
            <w:r>
              <w:rPr>
                <w:rFonts w:eastAsia="Times New Roman" w:cs="Times New Roman"/>
                <w:sz w:val="18"/>
                <w:szCs w:val="18"/>
              </w:rPr>
              <w:t>1.67</w:t>
            </w:r>
          </w:p>
        </w:tc>
        <w:tc>
          <w:tcPr>
            <w:tcW w:w="1093" w:type="dxa"/>
            <w:tcBorders>
              <w:top w:val="nil"/>
              <w:bottom w:val="nil"/>
            </w:tcBorders>
            <w:shd w:val="clear" w:color="000000" w:fill="FFFFFF"/>
            <w:noWrap/>
            <w:vAlign w:val="center"/>
            <w:hideMark/>
          </w:tcPr>
          <w:p w:rsidR="00161A1D" w:rsidRDefault="00876754" w:rsidP="00CF007B">
            <w:pPr>
              <w:spacing w:after="0" w:line="240" w:lineRule="auto"/>
              <w:jc w:val="center"/>
              <w:rPr>
                <w:rFonts w:eastAsia="Times New Roman" w:cs="Times New Roman"/>
                <w:sz w:val="18"/>
                <w:szCs w:val="18"/>
              </w:rPr>
            </w:pPr>
            <w:r>
              <w:rPr>
                <w:rFonts w:eastAsia="Times New Roman" w:cs="Times New Roman"/>
                <w:sz w:val="18"/>
                <w:szCs w:val="18"/>
              </w:rPr>
              <w:t>1.26</w:t>
            </w:r>
          </w:p>
        </w:tc>
      </w:tr>
      <w:tr w:rsidR="00161A1D" w:rsidRPr="00F74A03" w:rsidTr="009234DF">
        <w:trPr>
          <w:trHeight w:val="279"/>
          <w:jc w:val="center"/>
        </w:trPr>
        <w:tc>
          <w:tcPr>
            <w:tcW w:w="4839" w:type="dxa"/>
            <w:tcBorders>
              <w:top w:val="nil"/>
              <w:bottom w:val="nil"/>
            </w:tcBorders>
            <w:shd w:val="clear" w:color="auto" w:fill="auto"/>
            <w:noWrap/>
            <w:vAlign w:val="bottom"/>
            <w:hideMark/>
          </w:tcPr>
          <w:p w:rsidR="00161A1D" w:rsidRPr="00A03BAE" w:rsidRDefault="00161A1D"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Milk, cheese and eggs</w:t>
            </w:r>
          </w:p>
        </w:tc>
        <w:tc>
          <w:tcPr>
            <w:tcW w:w="1236" w:type="dxa"/>
            <w:tcBorders>
              <w:top w:val="nil"/>
              <w:bottom w:val="nil"/>
            </w:tcBorders>
            <w:shd w:val="clear" w:color="auto" w:fill="auto"/>
            <w:noWrap/>
            <w:vAlign w:val="center"/>
            <w:hideMark/>
          </w:tcPr>
          <w:p w:rsidR="00161A1D" w:rsidRPr="00B6688F" w:rsidRDefault="00161A1D" w:rsidP="00CF007B">
            <w:pPr>
              <w:spacing w:after="0" w:line="240" w:lineRule="auto"/>
              <w:jc w:val="center"/>
              <w:rPr>
                <w:rFonts w:eastAsia="Times New Roman" w:cs="Times New Roman"/>
                <w:sz w:val="18"/>
                <w:szCs w:val="18"/>
              </w:rPr>
            </w:pPr>
            <w:r w:rsidRPr="00B6688F">
              <w:rPr>
                <w:rFonts w:eastAsia="Times New Roman" w:cs="Times New Roman"/>
                <w:sz w:val="18"/>
                <w:szCs w:val="18"/>
              </w:rPr>
              <w:t>4.7</w:t>
            </w:r>
          </w:p>
        </w:tc>
        <w:tc>
          <w:tcPr>
            <w:tcW w:w="1069"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3.58</w:t>
            </w:r>
          </w:p>
        </w:tc>
        <w:tc>
          <w:tcPr>
            <w:tcW w:w="1093"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3.35</w:t>
            </w:r>
          </w:p>
        </w:tc>
        <w:tc>
          <w:tcPr>
            <w:tcW w:w="1069" w:type="dxa"/>
            <w:tcBorders>
              <w:top w:val="nil"/>
              <w:bottom w:val="nil"/>
            </w:tcBorders>
            <w:shd w:val="clear" w:color="000000" w:fill="FFFFFF"/>
            <w:noWrap/>
            <w:vAlign w:val="center"/>
            <w:hideMark/>
          </w:tcPr>
          <w:p w:rsidR="00161A1D" w:rsidRPr="00B6688F" w:rsidRDefault="00876754" w:rsidP="00876754">
            <w:pPr>
              <w:spacing w:after="0" w:line="240" w:lineRule="auto"/>
              <w:jc w:val="center"/>
              <w:rPr>
                <w:rFonts w:eastAsia="Times New Roman" w:cs="Times New Roman"/>
                <w:sz w:val="18"/>
                <w:szCs w:val="18"/>
              </w:rPr>
            </w:pPr>
            <w:r>
              <w:rPr>
                <w:rFonts w:eastAsia="Times New Roman" w:cs="Times New Roman"/>
                <w:sz w:val="18"/>
                <w:szCs w:val="18"/>
              </w:rPr>
              <w:t>-0.86</w:t>
            </w:r>
          </w:p>
        </w:tc>
        <w:tc>
          <w:tcPr>
            <w:tcW w:w="1093" w:type="dxa"/>
            <w:tcBorders>
              <w:top w:val="nil"/>
              <w:bottom w:val="nil"/>
            </w:tcBorders>
            <w:shd w:val="clear" w:color="000000" w:fill="FFFFFF"/>
            <w:noWrap/>
            <w:vAlign w:val="center"/>
            <w:hideMark/>
          </w:tcPr>
          <w:p w:rsidR="00161A1D" w:rsidRDefault="00876754" w:rsidP="00CF007B">
            <w:pPr>
              <w:spacing w:after="0" w:line="240" w:lineRule="auto"/>
              <w:jc w:val="center"/>
              <w:rPr>
                <w:rFonts w:eastAsia="Times New Roman" w:cs="Times New Roman"/>
                <w:sz w:val="18"/>
                <w:szCs w:val="18"/>
              </w:rPr>
            </w:pPr>
            <w:r>
              <w:rPr>
                <w:rFonts w:eastAsia="Times New Roman" w:cs="Times New Roman"/>
                <w:sz w:val="18"/>
                <w:szCs w:val="18"/>
              </w:rPr>
              <w:t>-0.96</w:t>
            </w:r>
          </w:p>
        </w:tc>
      </w:tr>
      <w:tr w:rsidR="00161A1D" w:rsidRPr="00F74A03" w:rsidTr="009234DF">
        <w:trPr>
          <w:trHeight w:val="279"/>
          <w:jc w:val="center"/>
        </w:trPr>
        <w:tc>
          <w:tcPr>
            <w:tcW w:w="4839" w:type="dxa"/>
            <w:tcBorders>
              <w:top w:val="nil"/>
              <w:bottom w:val="nil"/>
            </w:tcBorders>
            <w:shd w:val="clear" w:color="auto" w:fill="auto"/>
            <w:noWrap/>
            <w:vAlign w:val="bottom"/>
            <w:hideMark/>
          </w:tcPr>
          <w:p w:rsidR="00161A1D" w:rsidRPr="00A03BAE" w:rsidRDefault="00161A1D"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Oils and fats</w:t>
            </w:r>
          </w:p>
        </w:tc>
        <w:tc>
          <w:tcPr>
            <w:tcW w:w="1236" w:type="dxa"/>
            <w:tcBorders>
              <w:top w:val="nil"/>
              <w:bottom w:val="nil"/>
            </w:tcBorders>
            <w:shd w:val="clear" w:color="auto" w:fill="auto"/>
            <w:noWrap/>
            <w:vAlign w:val="center"/>
            <w:hideMark/>
          </w:tcPr>
          <w:p w:rsidR="00161A1D" w:rsidRPr="00B6688F" w:rsidRDefault="00161A1D" w:rsidP="00CF007B">
            <w:pPr>
              <w:spacing w:after="0" w:line="240" w:lineRule="auto"/>
              <w:jc w:val="center"/>
              <w:rPr>
                <w:rFonts w:eastAsia="Times New Roman" w:cs="Times New Roman"/>
                <w:sz w:val="18"/>
                <w:szCs w:val="18"/>
              </w:rPr>
            </w:pPr>
            <w:r w:rsidRPr="00B6688F">
              <w:rPr>
                <w:rFonts w:eastAsia="Times New Roman" w:cs="Times New Roman"/>
                <w:sz w:val="18"/>
                <w:szCs w:val="18"/>
              </w:rPr>
              <w:t>4.6</w:t>
            </w:r>
          </w:p>
        </w:tc>
        <w:tc>
          <w:tcPr>
            <w:tcW w:w="1069"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21.62</w:t>
            </w:r>
          </w:p>
        </w:tc>
        <w:tc>
          <w:tcPr>
            <w:tcW w:w="1093"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19.60</w:t>
            </w:r>
          </w:p>
        </w:tc>
        <w:tc>
          <w:tcPr>
            <w:tcW w:w="1069" w:type="dxa"/>
            <w:tcBorders>
              <w:top w:val="nil"/>
              <w:bottom w:val="nil"/>
            </w:tcBorders>
            <w:shd w:val="clear" w:color="000000" w:fill="FFFFFF"/>
            <w:noWrap/>
            <w:vAlign w:val="center"/>
            <w:hideMark/>
          </w:tcPr>
          <w:p w:rsidR="00161A1D" w:rsidRPr="00B6688F" w:rsidRDefault="00876754" w:rsidP="00876754">
            <w:pPr>
              <w:spacing w:after="0" w:line="240" w:lineRule="auto"/>
              <w:jc w:val="center"/>
              <w:rPr>
                <w:rFonts w:eastAsia="Times New Roman" w:cs="Times New Roman"/>
                <w:sz w:val="18"/>
                <w:szCs w:val="18"/>
              </w:rPr>
            </w:pPr>
            <w:r>
              <w:rPr>
                <w:rFonts w:eastAsia="Times New Roman" w:cs="Times New Roman"/>
                <w:sz w:val="18"/>
                <w:szCs w:val="18"/>
              </w:rPr>
              <w:t>2.30</w:t>
            </w:r>
          </w:p>
        </w:tc>
        <w:tc>
          <w:tcPr>
            <w:tcW w:w="1093" w:type="dxa"/>
            <w:tcBorders>
              <w:top w:val="nil"/>
              <w:bottom w:val="nil"/>
            </w:tcBorders>
            <w:shd w:val="clear" w:color="000000" w:fill="FFFFFF"/>
            <w:noWrap/>
            <w:vAlign w:val="center"/>
            <w:hideMark/>
          </w:tcPr>
          <w:p w:rsidR="00161A1D" w:rsidRDefault="00876754" w:rsidP="00CF007B">
            <w:pPr>
              <w:spacing w:after="0" w:line="240" w:lineRule="auto"/>
              <w:jc w:val="center"/>
              <w:rPr>
                <w:rFonts w:eastAsia="Times New Roman" w:cs="Times New Roman"/>
                <w:sz w:val="18"/>
                <w:szCs w:val="18"/>
              </w:rPr>
            </w:pPr>
            <w:r>
              <w:rPr>
                <w:rFonts w:eastAsia="Times New Roman" w:cs="Times New Roman"/>
                <w:sz w:val="18"/>
                <w:szCs w:val="18"/>
              </w:rPr>
              <w:t>0.02</w:t>
            </w:r>
          </w:p>
        </w:tc>
      </w:tr>
      <w:tr w:rsidR="00161A1D" w:rsidRPr="00F74A03" w:rsidTr="009234DF">
        <w:trPr>
          <w:trHeight w:val="279"/>
          <w:jc w:val="center"/>
        </w:trPr>
        <w:tc>
          <w:tcPr>
            <w:tcW w:w="4839" w:type="dxa"/>
            <w:tcBorders>
              <w:top w:val="nil"/>
              <w:bottom w:val="nil"/>
            </w:tcBorders>
            <w:shd w:val="clear" w:color="auto" w:fill="auto"/>
            <w:noWrap/>
            <w:vAlign w:val="bottom"/>
            <w:hideMark/>
          </w:tcPr>
          <w:p w:rsidR="00161A1D" w:rsidRPr="00A03BAE" w:rsidRDefault="00161A1D"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Fresh and dried fruits</w:t>
            </w:r>
          </w:p>
        </w:tc>
        <w:tc>
          <w:tcPr>
            <w:tcW w:w="1236" w:type="dxa"/>
            <w:tcBorders>
              <w:top w:val="nil"/>
              <w:bottom w:val="nil"/>
            </w:tcBorders>
            <w:shd w:val="clear" w:color="auto" w:fill="auto"/>
            <w:noWrap/>
            <w:vAlign w:val="center"/>
            <w:hideMark/>
          </w:tcPr>
          <w:p w:rsidR="00161A1D" w:rsidRPr="00B6688F" w:rsidRDefault="00161A1D" w:rsidP="00CF007B">
            <w:pPr>
              <w:spacing w:after="0" w:line="240" w:lineRule="auto"/>
              <w:jc w:val="center"/>
              <w:rPr>
                <w:rFonts w:eastAsia="Times New Roman" w:cs="Times New Roman"/>
                <w:sz w:val="18"/>
                <w:szCs w:val="18"/>
              </w:rPr>
            </w:pPr>
            <w:r w:rsidRPr="00B6688F">
              <w:rPr>
                <w:rFonts w:eastAsia="Times New Roman" w:cs="Times New Roman"/>
                <w:sz w:val="18"/>
                <w:szCs w:val="18"/>
              </w:rPr>
              <w:t>5.0</w:t>
            </w:r>
          </w:p>
        </w:tc>
        <w:tc>
          <w:tcPr>
            <w:tcW w:w="1069"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10.88</w:t>
            </w:r>
          </w:p>
        </w:tc>
        <w:tc>
          <w:tcPr>
            <w:tcW w:w="1093"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20.05</w:t>
            </w:r>
          </w:p>
        </w:tc>
        <w:tc>
          <w:tcPr>
            <w:tcW w:w="1069" w:type="dxa"/>
            <w:tcBorders>
              <w:top w:val="nil"/>
              <w:bottom w:val="nil"/>
            </w:tcBorders>
            <w:shd w:val="clear" w:color="000000" w:fill="FFFFFF"/>
            <w:noWrap/>
            <w:vAlign w:val="center"/>
            <w:hideMark/>
          </w:tcPr>
          <w:p w:rsidR="00161A1D" w:rsidRPr="00B6688F" w:rsidRDefault="00876754" w:rsidP="00876754">
            <w:pPr>
              <w:spacing w:after="0" w:line="240" w:lineRule="auto"/>
              <w:jc w:val="center"/>
              <w:rPr>
                <w:rFonts w:eastAsia="Times New Roman" w:cs="Times New Roman"/>
                <w:sz w:val="18"/>
                <w:szCs w:val="18"/>
              </w:rPr>
            </w:pPr>
            <w:r>
              <w:rPr>
                <w:rFonts w:eastAsia="Times New Roman" w:cs="Times New Roman"/>
                <w:sz w:val="18"/>
                <w:szCs w:val="18"/>
              </w:rPr>
              <w:t>-3.76</w:t>
            </w:r>
          </w:p>
        </w:tc>
        <w:tc>
          <w:tcPr>
            <w:tcW w:w="1093" w:type="dxa"/>
            <w:tcBorders>
              <w:top w:val="nil"/>
              <w:bottom w:val="nil"/>
            </w:tcBorders>
            <w:shd w:val="clear" w:color="000000" w:fill="FFFFFF"/>
            <w:noWrap/>
            <w:vAlign w:val="center"/>
            <w:hideMark/>
          </w:tcPr>
          <w:p w:rsidR="00161A1D" w:rsidRDefault="00876754" w:rsidP="00CF007B">
            <w:pPr>
              <w:spacing w:after="0" w:line="240" w:lineRule="auto"/>
              <w:jc w:val="center"/>
              <w:rPr>
                <w:rFonts w:eastAsia="Times New Roman" w:cs="Times New Roman"/>
                <w:sz w:val="18"/>
                <w:szCs w:val="18"/>
              </w:rPr>
            </w:pPr>
            <w:r>
              <w:rPr>
                <w:rFonts w:eastAsia="Times New Roman" w:cs="Times New Roman"/>
                <w:sz w:val="18"/>
                <w:szCs w:val="18"/>
              </w:rPr>
              <w:t>1.79</w:t>
            </w:r>
          </w:p>
        </w:tc>
      </w:tr>
      <w:tr w:rsidR="00161A1D" w:rsidRPr="00F74A03" w:rsidTr="009234DF">
        <w:trPr>
          <w:trHeight w:val="279"/>
          <w:jc w:val="center"/>
        </w:trPr>
        <w:tc>
          <w:tcPr>
            <w:tcW w:w="4839" w:type="dxa"/>
            <w:tcBorders>
              <w:top w:val="nil"/>
              <w:bottom w:val="nil"/>
            </w:tcBorders>
            <w:shd w:val="clear" w:color="auto" w:fill="auto"/>
            <w:noWrap/>
            <w:vAlign w:val="bottom"/>
            <w:hideMark/>
          </w:tcPr>
          <w:p w:rsidR="00161A1D" w:rsidRPr="00A03BAE" w:rsidRDefault="00161A1D"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Vegetables </w:t>
            </w:r>
          </w:p>
        </w:tc>
        <w:tc>
          <w:tcPr>
            <w:tcW w:w="1236" w:type="dxa"/>
            <w:tcBorders>
              <w:top w:val="nil"/>
              <w:bottom w:val="nil"/>
            </w:tcBorders>
            <w:shd w:val="clear" w:color="auto" w:fill="auto"/>
            <w:noWrap/>
            <w:vAlign w:val="center"/>
            <w:hideMark/>
          </w:tcPr>
          <w:p w:rsidR="00161A1D" w:rsidRPr="00B6688F" w:rsidRDefault="00161A1D" w:rsidP="00CF007B">
            <w:pPr>
              <w:spacing w:after="0" w:line="240" w:lineRule="auto"/>
              <w:jc w:val="center"/>
              <w:rPr>
                <w:rFonts w:eastAsia="Times New Roman" w:cs="Times New Roman"/>
                <w:sz w:val="18"/>
                <w:szCs w:val="18"/>
              </w:rPr>
            </w:pPr>
            <w:r w:rsidRPr="00B6688F">
              <w:rPr>
                <w:rFonts w:eastAsia="Times New Roman" w:cs="Times New Roman"/>
                <w:sz w:val="18"/>
                <w:szCs w:val="18"/>
              </w:rPr>
              <w:t>6.0</w:t>
            </w:r>
          </w:p>
        </w:tc>
        <w:tc>
          <w:tcPr>
            <w:tcW w:w="1069"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16.15</w:t>
            </w:r>
          </w:p>
        </w:tc>
        <w:tc>
          <w:tcPr>
            <w:tcW w:w="1093"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14.60</w:t>
            </w:r>
          </w:p>
        </w:tc>
        <w:tc>
          <w:tcPr>
            <w:tcW w:w="1069" w:type="dxa"/>
            <w:tcBorders>
              <w:top w:val="nil"/>
              <w:bottom w:val="nil"/>
            </w:tcBorders>
            <w:shd w:val="clear" w:color="000000" w:fill="FFFFFF"/>
            <w:noWrap/>
            <w:vAlign w:val="center"/>
            <w:hideMark/>
          </w:tcPr>
          <w:p w:rsidR="00161A1D" w:rsidRPr="00B6688F" w:rsidRDefault="00876754" w:rsidP="00876754">
            <w:pPr>
              <w:spacing w:after="0" w:line="240" w:lineRule="auto"/>
              <w:jc w:val="center"/>
              <w:rPr>
                <w:rFonts w:eastAsia="Times New Roman" w:cs="Times New Roman"/>
                <w:sz w:val="18"/>
                <w:szCs w:val="18"/>
              </w:rPr>
            </w:pPr>
            <w:r>
              <w:rPr>
                <w:rFonts w:eastAsia="Times New Roman" w:cs="Times New Roman"/>
                <w:sz w:val="18"/>
                <w:szCs w:val="18"/>
              </w:rPr>
              <w:t>-15.03</w:t>
            </w:r>
          </w:p>
        </w:tc>
        <w:tc>
          <w:tcPr>
            <w:tcW w:w="1093" w:type="dxa"/>
            <w:tcBorders>
              <w:top w:val="nil"/>
              <w:bottom w:val="nil"/>
            </w:tcBorders>
            <w:shd w:val="clear" w:color="000000" w:fill="FFFFFF"/>
            <w:noWrap/>
            <w:vAlign w:val="center"/>
            <w:hideMark/>
          </w:tcPr>
          <w:p w:rsidR="00161A1D" w:rsidRDefault="00876754" w:rsidP="00CF007B">
            <w:pPr>
              <w:spacing w:after="0" w:line="240" w:lineRule="auto"/>
              <w:jc w:val="center"/>
              <w:rPr>
                <w:rFonts w:eastAsia="Times New Roman" w:cs="Times New Roman"/>
                <w:sz w:val="18"/>
                <w:szCs w:val="18"/>
              </w:rPr>
            </w:pPr>
            <w:r>
              <w:rPr>
                <w:rFonts w:eastAsia="Times New Roman" w:cs="Times New Roman"/>
                <w:sz w:val="18"/>
                <w:szCs w:val="18"/>
              </w:rPr>
              <w:t>-11.85</w:t>
            </w:r>
          </w:p>
        </w:tc>
      </w:tr>
      <w:tr w:rsidR="00161A1D" w:rsidRPr="00F74A03" w:rsidTr="009234DF">
        <w:trPr>
          <w:trHeight w:val="279"/>
          <w:jc w:val="center"/>
        </w:trPr>
        <w:tc>
          <w:tcPr>
            <w:tcW w:w="4839" w:type="dxa"/>
            <w:tcBorders>
              <w:top w:val="nil"/>
              <w:bottom w:val="nil"/>
            </w:tcBorders>
            <w:shd w:val="clear" w:color="auto" w:fill="auto"/>
            <w:noWrap/>
            <w:vAlign w:val="bottom"/>
            <w:hideMark/>
          </w:tcPr>
          <w:p w:rsidR="00161A1D" w:rsidRPr="00A03BAE" w:rsidRDefault="00161A1D"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Sugar and sweets</w:t>
            </w:r>
          </w:p>
        </w:tc>
        <w:tc>
          <w:tcPr>
            <w:tcW w:w="1236" w:type="dxa"/>
            <w:tcBorders>
              <w:top w:val="nil"/>
              <w:bottom w:val="nil"/>
            </w:tcBorders>
            <w:shd w:val="clear" w:color="auto" w:fill="auto"/>
            <w:noWrap/>
            <w:vAlign w:val="center"/>
            <w:hideMark/>
          </w:tcPr>
          <w:p w:rsidR="00161A1D" w:rsidRPr="00B6688F" w:rsidRDefault="00161A1D" w:rsidP="00CF007B">
            <w:pPr>
              <w:spacing w:after="0" w:line="240" w:lineRule="auto"/>
              <w:jc w:val="center"/>
              <w:rPr>
                <w:rFonts w:eastAsia="Times New Roman" w:cs="Times New Roman"/>
                <w:sz w:val="18"/>
                <w:szCs w:val="18"/>
              </w:rPr>
            </w:pPr>
            <w:r w:rsidRPr="00B6688F">
              <w:rPr>
                <w:rFonts w:eastAsia="Times New Roman" w:cs="Times New Roman"/>
                <w:sz w:val="18"/>
                <w:szCs w:val="18"/>
              </w:rPr>
              <w:t>2.7</w:t>
            </w:r>
          </w:p>
        </w:tc>
        <w:tc>
          <w:tcPr>
            <w:tcW w:w="1069"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3.59</w:t>
            </w:r>
          </w:p>
        </w:tc>
        <w:tc>
          <w:tcPr>
            <w:tcW w:w="1093" w:type="dxa"/>
            <w:tcBorders>
              <w:top w:val="nil"/>
              <w:bottom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2.84</w:t>
            </w:r>
          </w:p>
        </w:tc>
        <w:tc>
          <w:tcPr>
            <w:tcW w:w="1069" w:type="dxa"/>
            <w:tcBorders>
              <w:top w:val="nil"/>
              <w:bottom w:val="nil"/>
            </w:tcBorders>
            <w:shd w:val="clear" w:color="000000" w:fill="FFFFFF"/>
            <w:noWrap/>
            <w:vAlign w:val="center"/>
            <w:hideMark/>
          </w:tcPr>
          <w:p w:rsidR="00161A1D" w:rsidRPr="00B6688F" w:rsidRDefault="00876754" w:rsidP="00876754">
            <w:pPr>
              <w:spacing w:after="0" w:line="240" w:lineRule="auto"/>
              <w:jc w:val="center"/>
              <w:rPr>
                <w:rFonts w:eastAsia="Times New Roman" w:cs="Times New Roman"/>
                <w:sz w:val="18"/>
                <w:szCs w:val="18"/>
              </w:rPr>
            </w:pPr>
            <w:r>
              <w:rPr>
                <w:rFonts w:eastAsia="Times New Roman" w:cs="Times New Roman"/>
                <w:sz w:val="18"/>
                <w:szCs w:val="18"/>
              </w:rPr>
              <w:t>1.15</w:t>
            </w:r>
          </w:p>
        </w:tc>
        <w:tc>
          <w:tcPr>
            <w:tcW w:w="1093" w:type="dxa"/>
            <w:tcBorders>
              <w:top w:val="nil"/>
              <w:bottom w:val="nil"/>
            </w:tcBorders>
            <w:shd w:val="clear" w:color="000000" w:fill="FFFFFF"/>
            <w:noWrap/>
            <w:vAlign w:val="center"/>
            <w:hideMark/>
          </w:tcPr>
          <w:p w:rsidR="00161A1D" w:rsidRDefault="00876754" w:rsidP="00CF007B">
            <w:pPr>
              <w:spacing w:after="0" w:line="240" w:lineRule="auto"/>
              <w:jc w:val="center"/>
              <w:rPr>
                <w:rFonts w:eastAsia="Times New Roman" w:cs="Times New Roman"/>
                <w:sz w:val="18"/>
                <w:szCs w:val="18"/>
              </w:rPr>
            </w:pPr>
            <w:r>
              <w:rPr>
                <w:rFonts w:eastAsia="Times New Roman" w:cs="Times New Roman"/>
                <w:sz w:val="18"/>
                <w:szCs w:val="18"/>
              </w:rPr>
              <w:t>0.10</w:t>
            </w:r>
          </w:p>
        </w:tc>
      </w:tr>
      <w:tr w:rsidR="00161A1D" w:rsidRPr="00F74A03" w:rsidTr="00161A1D">
        <w:trPr>
          <w:trHeight w:val="468"/>
          <w:jc w:val="center"/>
        </w:trPr>
        <w:tc>
          <w:tcPr>
            <w:tcW w:w="4839" w:type="dxa"/>
            <w:tcBorders>
              <w:top w:val="nil"/>
            </w:tcBorders>
            <w:shd w:val="clear" w:color="auto" w:fill="auto"/>
            <w:noWrap/>
            <w:vAlign w:val="bottom"/>
            <w:hideMark/>
          </w:tcPr>
          <w:p w:rsidR="00161A1D" w:rsidRPr="00A03BAE" w:rsidRDefault="00161A1D"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Spices</w:t>
            </w:r>
          </w:p>
        </w:tc>
        <w:tc>
          <w:tcPr>
            <w:tcW w:w="1236" w:type="dxa"/>
            <w:tcBorders>
              <w:top w:val="nil"/>
            </w:tcBorders>
            <w:shd w:val="clear" w:color="auto" w:fill="auto"/>
            <w:noWrap/>
            <w:vAlign w:val="center"/>
            <w:hideMark/>
          </w:tcPr>
          <w:p w:rsidR="00161A1D" w:rsidRPr="00B6688F" w:rsidRDefault="00161A1D" w:rsidP="00CF007B">
            <w:pPr>
              <w:spacing w:after="0" w:line="240" w:lineRule="auto"/>
              <w:jc w:val="center"/>
              <w:rPr>
                <w:rFonts w:eastAsia="Times New Roman" w:cs="Times New Roman"/>
                <w:sz w:val="18"/>
                <w:szCs w:val="18"/>
              </w:rPr>
            </w:pPr>
            <w:r w:rsidRPr="00B6688F">
              <w:rPr>
                <w:rFonts w:eastAsia="Times New Roman" w:cs="Times New Roman"/>
                <w:sz w:val="18"/>
                <w:szCs w:val="18"/>
              </w:rPr>
              <w:t>1.3</w:t>
            </w:r>
          </w:p>
        </w:tc>
        <w:tc>
          <w:tcPr>
            <w:tcW w:w="1069" w:type="dxa"/>
            <w:tcBorders>
              <w:top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11.57</w:t>
            </w:r>
          </w:p>
        </w:tc>
        <w:tc>
          <w:tcPr>
            <w:tcW w:w="1093" w:type="dxa"/>
            <w:tcBorders>
              <w:top w:val="nil"/>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1.70</w:t>
            </w:r>
          </w:p>
        </w:tc>
        <w:tc>
          <w:tcPr>
            <w:tcW w:w="1069" w:type="dxa"/>
            <w:tcBorders>
              <w:top w:val="nil"/>
            </w:tcBorders>
            <w:shd w:val="clear" w:color="000000" w:fill="FFFFFF"/>
            <w:noWrap/>
            <w:vAlign w:val="center"/>
            <w:hideMark/>
          </w:tcPr>
          <w:p w:rsidR="00161A1D" w:rsidRPr="00B6688F" w:rsidRDefault="00876754" w:rsidP="00876754">
            <w:pPr>
              <w:spacing w:after="0" w:line="240" w:lineRule="auto"/>
              <w:jc w:val="center"/>
              <w:rPr>
                <w:rFonts w:eastAsia="Times New Roman" w:cs="Times New Roman"/>
                <w:sz w:val="18"/>
                <w:szCs w:val="18"/>
              </w:rPr>
            </w:pPr>
            <w:r>
              <w:rPr>
                <w:rFonts w:eastAsia="Times New Roman" w:cs="Times New Roman"/>
                <w:sz w:val="18"/>
                <w:szCs w:val="18"/>
              </w:rPr>
              <w:t>-4.80</w:t>
            </w:r>
          </w:p>
        </w:tc>
        <w:tc>
          <w:tcPr>
            <w:tcW w:w="1093" w:type="dxa"/>
            <w:tcBorders>
              <w:top w:val="nil"/>
            </w:tcBorders>
            <w:shd w:val="clear" w:color="000000" w:fill="FFFFFF"/>
            <w:noWrap/>
            <w:vAlign w:val="center"/>
            <w:hideMark/>
          </w:tcPr>
          <w:p w:rsidR="00161A1D" w:rsidRDefault="00876754" w:rsidP="00CF007B">
            <w:pPr>
              <w:spacing w:after="0" w:line="240" w:lineRule="auto"/>
              <w:jc w:val="center"/>
              <w:rPr>
                <w:rFonts w:eastAsia="Times New Roman" w:cs="Times New Roman"/>
                <w:sz w:val="18"/>
                <w:szCs w:val="18"/>
              </w:rPr>
            </w:pPr>
            <w:r>
              <w:rPr>
                <w:rFonts w:eastAsia="Times New Roman" w:cs="Times New Roman"/>
                <w:sz w:val="18"/>
                <w:szCs w:val="18"/>
              </w:rPr>
              <w:t>-9.69</w:t>
            </w:r>
          </w:p>
        </w:tc>
      </w:tr>
      <w:tr w:rsidR="00161A1D" w:rsidRPr="00F74A03" w:rsidTr="009234DF">
        <w:trPr>
          <w:trHeight w:val="279"/>
          <w:jc w:val="center"/>
        </w:trPr>
        <w:tc>
          <w:tcPr>
            <w:tcW w:w="4839" w:type="dxa"/>
            <w:tcBorders>
              <w:top w:val="nil"/>
              <w:bottom w:val="single" w:sz="4" w:space="0" w:color="auto"/>
            </w:tcBorders>
            <w:shd w:val="clear" w:color="auto" w:fill="auto"/>
            <w:noWrap/>
            <w:vAlign w:val="bottom"/>
            <w:hideMark/>
          </w:tcPr>
          <w:p w:rsidR="00161A1D" w:rsidRPr="00A03BAE" w:rsidRDefault="00161A1D" w:rsidP="00594443">
            <w:pPr>
              <w:spacing w:after="0" w:line="240" w:lineRule="auto"/>
              <w:rPr>
                <w:rFonts w:eastAsia="Times New Roman" w:cs="Times New Roman"/>
                <w:i/>
                <w:iCs/>
                <w:color w:val="000000"/>
                <w:sz w:val="20"/>
                <w:szCs w:val="20"/>
              </w:rPr>
            </w:pPr>
            <w:r w:rsidRPr="00A03BAE">
              <w:rPr>
                <w:rFonts w:eastAsia="Times New Roman" w:cs="Times New Roman"/>
                <w:i/>
                <w:iCs/>
                <w:color w:val="000000"/>
                <w:sz w:val="20"/>
                <w:szCs w:val="20"/>
              </w:rPr>
              <w:t xml:space="preserve">   Non-alcoholic beverages</w:t>
            </w:r>
          </w:p>
        </w:tc>
        <w:tc>
          <w:tcPr>
            <w:tcW w:w="1236" w:type="dxa"/>
            <w:tcBorders>
              <w:top w:val="nil"/>
              <w:bottom w:val="single" w:sz="4" w:space="0" w:color="auto"/>
            </w:tcBorders>
            <w:shd w:val="clear" w:color="auto" w:fill="auto"/>
            <w:noWrap/>
            <w:vAlign w:val="center"/>
            <w:hideMark/>
          </w:tcPr>
          <w:p w:rsidR="00161A1D" w:rsidRPr="00B6688F" w:rsidRDefault="00161A1D" w:rsidP="00CF007B">
            <w:pPr>
              <w:spacing w:after="0" w:line="240" w:lineRule="auto"/>
              <w:jc w:val="center"/>
              <w:rPr>
                <w:rFonts w:eastAsia="Times New Roman" w:cs="Times New Roman"/>
                <w:sz w:val="18"/>
                <w:szCs w:val="18"/>
              </w:rPr>
            </w:pPr>
            <w:r w:rsidRPr="00B6688F">
              <w:rPr>
                <w:rFonts w:eastAsia="Times New Roman" w:cs="Times New Roman"/>
                <w:sz w:val="18"/>
                <w:szCs w:val="18"/>
              </w:rPr>
              <w:t>1.4</w:t>
            </w:r>
          </w:p>
        </w:tc>
        <w:tc>
          <w:tcPr>
            <w:tcW w:w="1069" w:type="dxa"/>
            <w:tcBorders>
              <w:top w:val="nil"/>
              <w:bottom w:val="single" w:sz="4" w:space="0" w:color="auto"/>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4.08</w:t>
            </w:r>
          </w:p>
        </w:tc>
        <w:tc>
          <w:tcPr>
            <w:tcW w:w="1093" w:type="dxa"/>
            <w:tcBorders>
              <w:top w:val="nil"/>
              <w:bottom w:val="single" w:sz="4" w:space="0" w:color="auto"/>
            </w:tcBorders>
            <w:shd w:val="clear" w:color="000000" w:fill="FFFFFF"/>
            <w:noWrap/>
            <w:vAlign w:val="center"/>
            <w:hideMark/>
          </w:tcPr>
          <w:p w:rsidR="00161A1D" w:rsidRDefault="00161A1D" w:rsidP="00CF007B">
            <w:pPr>
              <w:spacing w:after="0" w:line="240" w:lineRule="auto"/>
              <w:jc w:val="center"/>
              <w:rPr>
                <w:rFonts w:eastAsia="Times New Roman" w:cs="Times New Roman"/>
                <w:sz w:val="18"/>
                <w:szCs w:val="18"/>
              </w:rPr>
            </w:pPr>
            <w:r>
              <w:rPr>
                <w:rFonts w:eastAsia="Times New Roman" w:cs="Times New Roman"/>
                <w:sz w:val="18"/>
                <w:szCs w:val="18"/>
              </w:rPr>
              <w:t>5.15</w:t>
            </w:r>
          </w:p>
        </w:tc>
        <w:tc>
          <w:tcPr>
            <w:tcW w:w="1069" w:type="dxa"/>
            <w:tcBorders>
              <w:top w:val="nil"/>
              <w:bottom w:val="single" w:sz="4" w:space="0" w:color="auto"/>
            </w:tcBorders>
            <w:shd w:val="clear" w:color="000000" w:fill="FFFFFF"/>
            <w:noWrap/>
            <w:vAlign w:val="center"/>
            <w:hideMark/>
          </w:tcPr>
          <w:p w:rsidR="00161A1D" w:rsidRPr="00B6688F" w:rsidRDefault="00876754" w:rsidP="00876754">
            <w:pPr>
              <w:spacing w:after="0" w:line="240" w:lineRule="auto"/>
              <w:jc w:val="center"/>
              <w:rPr>
                <w:rFonts w:eastAsia="Times New Roman" w:cs="Times New Roman"/>
                <w:sz w:val="18"/>
                <w:szCs w:val="18"/>
              </w:rPr>
            </w:pPr>
            <w:r>
              <w:rPr>
                <w:rFonts w:eastAsia="Times New Roman" w:cs="Times New Roman"/>
                <w:sz w:val="18"/>
                <w:szCs w:val="18"/>
              </w:rPr>
              <w:t>0.58</w:t>
            </w:r>
          </w:p>
        </w:tc>
        <w:tc>
          <w:tcPr>
            <w:tcW w:w="1093" w:type="dxa"/>
            <w:tcBorders>
              <w:top w:val="nil"/>
              <w:bottom w:val="single" w:sz="4" w:space="0" w:color="auto"/>
            </w:tcBorders>
            <w:shd w:val="clear" w:color="000000" w:fill="FFFFFF"/>
            <w:noWrap/>
            <w:vAlign w:val="center"/>
            <w:hideMark/>
          </w:tcPr>
          <w:p w:rsidR="00161A1D" w:rsidRDefault="00876754" w:rsidP="00CF007B">
            <w:pPr>
              <w:spacing w:after="0" w:line="240" w:lineRule="auto"/>
              <w:jc w:val="center"/>
              <w:rPr>
                <w:rFonts w:eastAsia="Times New Roman" w:cs="Times New Roman"/>
                <w:sz w:val="18"/>
                <w:szCs w:val="18"/>
              </w:rPr>
            </w:pPr>
            <w:r>
              <w:rPr>
                <w:rFonts w:eastAsia="Times New Roman" w:cs="Times New Roman"/>
                <w:sz w:val="18"/>
                <w:szCs w:val="18"/>
              </w:rPr>
              <w:t>0.51</w:t>
            </w:r>
          </w:p>
        </w:tc>
      </w:tr>
      <w:tr w:rsidR="009234DF" w:rsidRPr="00F74A03" w:rsidTr="009234DF">
        <w:trPr>
          <w:trHeight w:val="279"/>
          <w:jc w:val="center"/>
        </w:trPr>
        <w:tc>
          <w:tcPr>
            <w:tcW w:w="4839" w:type="dxa"/>
            <w:tcBorders>
              <w:top w:val="single" w:sz="4" w:space="0" w:color="auto"/>
              <w:left w:val="nil"/>
              <w:bottom w:val="nil"/>
              <w:right w:val="nil"/>
            </w:tcBorders>
            <w:shd w:val="clear" w:color="auto" w:fill="auto"/>
            <w:noWrap/>
            <w:vAlign w:val="bottom"/>
            <w:hideMark/>
          </w:tcPr>
          <w:p w:rsidR="009234DF" w:rsidRPr="00A03BAE" w:rsidRDefault="009234DF" w:rsidP="00CA6D7F">
            <w:pPr>
              <w:spacing w:after="0" w:line="240" w:lineRule="auto"/>
              <w:rPr>
                <w:rFonts w:eastAsia="Times New Roman" w:cs="Times New Roman"/>
                <w:color w:val="000000"/>
              </w:rPr>
            </w:pPr>
            <w:r w:rsidRPr="00A03BAE">
              <w:rPr>
                <w:rFonts w:eastAsia="Times New Roman" w:cs="Times New Roman"/>
                <w:b/>
                <w:bCs/>
                <w:color w:val="000000"/>
                <w:sz w:val="20"/>
                <w:szCs w:val="20"/>
              </w:rPr>
              <w:t>Sour</w:t>
            </w:r>
            <w:r>
              <w:rPr>
                <w:rFonts w:eastAsia="Times New Roman" w:cs="Times New Roman"/>
                <w:b/>
                <w:bCs/>
                <w:color w:val="000000"/>
                <w:sz w:val="20"/>
                <w:szCs w:val="20"/>
              </w:rPr>
              <w:t>c</w:t>
            </w:r>
            <w:r w:rsidR="009835E3">
              <w:rPr>
                <w:rFonts w:eastAsia="Times New Roman" w:cs="Times New Roman"/>
                <w:b/>
                <w:bCs/>
                <w:color w:val="000000"/>
                <w:sz w:val="20"/>
                <w:szCs w:val="20"/>
              </w:rPr>
              <w:t xml:space="preserve">e </w:t>
            </w:r>
            <w:r>
              <w:rPr>
                <w:rFonts w:eastAsia="Times New Roman" w:cs="Times New Roman"/>
                <w:b/>
                <w:bCs/>
                <w:color w:val="000000"/>
                <w:sz w:val="20"/>
                <w:szCs w:val="20"/>
              </w:rPr>
              <w:t>:</w:t>
            </w:r>
            <w:r>
              <w:rPr>
                <w:rFonts w:eastAsia="Times New Roman" w:cs="Times New Roman"/>
                <w:i/>
                <w:iCs/>
                <w:color w:val="000000"/>
                <w:sz w:val="16"/>
                <w:szCs w:val="16"/>
              </w:rPr>
              <w:t xml:space="preserve">Da </w:t>
            </w:r>
            <w:r w:rsidRPr="00A03BAE">
              <w:rPr>
                <w:rFonts w:eastAsia="Times New Roman" w:cs="Times New Roman"/>
                <w:i/>
                <w:iCs/>
                <w:color w:val="000000"/>
                <w:sz w:val="16"/>
                <w:szCs w:val="16"/>
              </w:rPr>
              <w:t>Afghanistan Bank /</w:t>
            </w:r>
            <w:r>
              <w:rPr>
                <w:rFonts w:eastAsia="Times New Roman" w:cs="Times New Roman"/>
                <w:i/>
                <w:iCs/>
                <w:color w:val="000000"/>
                <w:sz w:val="16"/>
                <w:szCs w:val="16"/>
              </w:rPr>
              <w:t>NSIA</w:t>
            </w:r>
          </w:p>
        </w:tc>
        <w:tc>
          <w:tcPr>
            <w:tcW w:w="1236" w:type="dxa"/>
            <w:tcBorders>
              <w:top w:val="single" w:sz="4" w:space="0" w:color="auto"/>
              <w:left w:val="nil"/>
              <w:bottom w:val="nil"/>
              <w:right w:val="nil"/>
            </w:tcBorders>
            <w:shd w:val="clear" w:color="auto" w:fill="auto"/>
            <w:noWrap/>
            <w:vAlign w:val="bottom"/>
            <w:hideMark/>
          </w:tcPr>
          <w:p w:rsidR="009234DF" w:rsidRPr="00A03BAE" w:rsidRDefault="009234DF" w:rsidP="00594443">
            <w:pPr>
              <w:spacing w:after="0" w:line="240" w:lineRule="auto"/>
              <w:rPr>
                <w:rFonts w:eastAsia="Times New Roman" w:cs="Times New Roman"/>
                <w:color w:val="000000"/>
              </w:rPr>
            </w:pPr>
            <w:r w:rsidRPr="00A03BAE">
              <w:rPr>
                <w:rFonts w:eastAsia="Times New Roman" w:cs="Times New Roman"/>
                <w:color w:val="000000"/>
              </w:rPr>
              <w:t> </w:t>
            </w:r>
          </w:p>
        </w:tc>
        <w:tc>
          <w:tcPr>
            <w:tcW w:w="1069" w:type="dxa"/>
            <w:tcBorders>
              <w:top w:val="single" w:sz="4" w:space="0" w:color="auto"/>
              <w:left w:val="nil"/>
              <w:bottom w:val="nil"/>
              <w:right w:val="nil"/>
            </w:tcBorders>
            <w:shd w:val="clear" w:color="auto" w:fill="auto"/>
            <w:noWrap/>
            <w:vAlign w:val="bottom"/>
            <w:hideMark/>
          </w:tcPr>
          <w:p w:rsidR="009234DF" w:rsidRPr="00A03BAE" w:rsidRDefault="009234DF" w:rsidP="00594443">
            <w:pPr>
              <w:spacing w:after="0" w:line="240" w:lineRule="auto"/>
              <w:rPr>
                <w:rFonts w:eastAsia="Times New Roman" w:cs="Times New Roman"/>
                <w:color w:val="000000"/>
              </w:rPr>
            </w:pPr>
          </w:p>
        </w:tc>
        <w:tc>
          <w:tcPr>
            <w:tcW w:w="1093" w:type="dxa"/>
            <w:tcBorders>
              <w:top w:val="single" w:sz="4" w:space="0" w:color="auto"/>
              <w:left w:val="nil"/>
              <w:bottom w:val="nil"/>
              <w:right w:val="nil"/>
            </w:tcBorders>
            <w:shd w:val="clear" w:color="auto" w:fill="auto"/>
            <w:noWrap/>
            <w:vAlign w:val="bottom"/>
            <w:hideMark/>
          </w:tcPr>
          <w:p w:rsidR="009234DF" w:rsidRPr="00A03BAE" w:rsidRDefault="009234DF" w:rsidP="00594443">
            <w:pPr>
              <w:spacing w:after="0" w:line="240" w:lineRule="auto"/>
              <w:rPr>
                <w:rFonts w:eastAsia="Times New Roman" w:cs="Times New Roman"/>
                <w:color w:val="000000"/>
              </w:rPr>
            </w:pPr>
            <w:r w:rsidRPr="00A03BAE">
              <w:rPr>
                <w:rFonts w:eastAsia="Times New Roman" w:cs="Times New Roman"/>
                <w:color w:val="000000"/>
              </w:rPr>
              <w:t> </w:t>
            </w:r>
          </w:p>
        </w:tc>
        <w:tc>
          <w:tcPr>
            <w:tcW w:w="1069" w:type="dxa"/>
            <w:tcBorders>
              <w:top w:val="single" w:sz="4" w:space="0" w:color="auto"/>
              <w:left w:val="nil"/>
              <w:bottom w:val="nil"/>
              <w:right w:val="nil"/>
            </w:tcBorders>
            <w:shd w:val="clear" w:color="auto" w:fill="auto"/>
            <w:noWrap/>
            <w:vAlign w:val="bottom"/>
            <w:hideMark/>
          </w:tcPr>
          <w:p w:rsidR="009234DF" w:rsidRPr="00A03BAE" w:rsidRDefault="009234DF" w:rsidP="00594443">
            <w:pPr>
              <w:spacing w:after="0" w:line="240" w:lineRule="auto"/>
              <w:rPr>
                <w:rFonts w:eastAsia="Times New Roman" w:cs="Times New Roman"/>
                <w:color w:val="000000"/>
              </w:rPr>
            </w:pPr>
            <w:r w:rsidRPr="00A03BAE">
              <w:rPr>
                <w:rFonts w:eastAsia="Times New Roman" w:cs="Times New Roman"/>
                <w:color w:val="000000"/>
              </w:rPr>
              <w:t> </w:t>
            </w:r>
          </w:p>
        </w:tc>
        <w:tc>
          <w:tcPr>
            <w:tcW w:w="1093" w:type="dxa"/>
            <w:tcBorders>
              <w:top w:val="single" w:sz="4" w:space="0" w:color="auto"/>
              <w:left w:val="nil"/>
              <w:bottom w:val="nil"/>
              <w:right w:val="nil"/>
            </w:tcBorders>
            <w:shd w:val="clear" w:color="auto" w:fill="auto"/>
            <w:noWrap/>
            <w:vAlign w:val="bottom"/>
            <w:hideMark/>
          </w:tcPr>
          <w:p w:rsidR="009234DF" w:rsidRPr="00A03BAE" w:rsidRDefault="009234DF" w:rsidP="00594443">
            <w:pPr>
              <w:spacing w:after="0" w:line="240" w:lineRule="auto"/>
              <w:rPr>
                <w:rFonts w:eastAsia="Times New Roman" w:cs="Times New Roman"/>
                <w:color w:val="000000"/>
              </w:rPr>
            </w:pPr>
            <w:r w:rsidRPr="00A03BAE">
              <w:rPr>
                <w:rFonts w:eastAsia="Times New Roman" w:cs="Times New Roman"/>
                <w:color w:val="000000"/>
              </w:rPr>
              <w:t> </w:t>
            </w:r>
          </w:p>
        </w:tc>
      </w:tr>
    </w:tbl>
    <w:p w:rsidR="002046E0" w:rsidRDefault="002046E0" w:rsidP="00351CB3">
      <w:pPr>
        <w:spacing w:before="120" w:after="120" w:line="360" w:lineRule="atLeast"/>
        <w:jc w:val="both"/>
        <w:sectPr w:rsidR="002046E0" w:rsidSect="002046E0">
          <w:type w:val="continuous"/>
          <w:pgSz w:w="12240" w:h="15840"/>
          <w:pgMar w:top="1440" w:right="1440" w:bottom="1440" w:left="1440" w:header="720" w:footer="720" w:gutter="0"/>
          <w:cols w:space="432"/>
          <w:docGrid w:linePitch="360"/>
        </w:sectPr>
      </w:pPr>
    </w:p>
    <w:p w:rsidR="00241E72" w:rsidRDefault="00241E72" w:rsidP="00594443">
      <w:pPr>
        <w:spacing w:after="0" w:line="240" w:lineRule="auto"/>
        <w:rPr>
          <w:rFonts w:eastAsia="Times New Roman" w:cs="Times New Roman"/>
          <w:b/>
          <w:bCs/>
          <w:color w:val="1F497D"/>
        </w:rPr>
      </w:pPr>
    </w:p>
    <w:p w:rsidR="00241E72" w:rsidRDefault="00241E72" w:rsidP="00594443">
      <w:pPr>
        <w:spacing w:after="0" w:line="240" w:lineRule="auto"/>
        <w:rPr>
          <w:rFonts w:eastAsia="Times New Roman" w:cs="Times New Roman"/>
          <w:b/>
          <w:bCs/>
          <w:color w:val="1F497D"/>
        </w:rPr>
      </w:pPr>
    </w:p>
    <w:p w:rsidR="00241E72" w:rsidRDefault="00241E72" w:rsidP="00594443">
      <w:pPr>
        <w:spacing w:after="0" w:line="240" w:lineRule="auto"/>
        <w:rPr>
          <w:rFonts w:eastAsia="Times New Roman" w:cs="Times New Roman"/>
          <w:b/>
          <w:bCs/>
          <w:color w:val="1F497D"/>
        </w:rPr>
        <w:sectPr w:rsidR="00241E72" w:rsidSect="002046E0">
          <w:type w:val="continuous"/>
          <w:pgSz w:w="12240" w:h="15840"/>
          <w:pgMar w:top="1440" w:right="1440" w:bottom="1440" w:left="1440" w:header="720" w:footer="720" w:gutter="0"/>
          <w:cols w:num="2" w:space="432" w:equalWidth="0">
            <w:col w:w="3312" w:space="432"/>
            <w:col w:w="5616"/>
          </w:cols>
          <w:docGrid w:linePitch="360"/>
        </w:sectPr>
      </w:pPr>
    </w:p>
    <w:p w:rsidR="00946488" w:rsidRDefault="00CD127D" w:rsidP="000B61DB">
      <w:pPr>
        <w:spacing w:before="120" w:after="120" w:line="360" w:lineRule="atLeast"/>
        <w:jc w:val="both"/>
      </w:pPr>
      <w:r>
        <w:rPr>
          <w:noProof/>
        </w:rPr>
        <w:lastRenderedPageBreak/>
        <w:drawing>
          <wp:inline distT="0" distB="0" distL="0" distR="0">
            <wp:extent cx="2228850" cy="13716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1A1D" w:rsidRPr="00A377E3" w:rsidRDefault="00161A1D" w:rsidP="003B0E3E">
      <w:pPr>
        <w:spacing w:before="120" w:after="120" w:line="360" w:lineRule="atLeast"/>
        <w:jc w:val="both"/>
        <w:sectPr w:rsidR="00161A1D" w:rsidRPr="00A377E3" w:rsidSect="002046E0">
          <w:type w:val="continuous"/>
          <w:pgSz w:w="12240" w:h="15840"/>
          <w:pgMar w:top="1440" w:right="1440" w:bottom="1440" w:left="1440" w:header="720" w:footer="720" w:gutter="0"/>
          <w:cols w:num="2" w:space="432" w:equalWidth="0">
            <w:col w:w="3312" w:space="432"/>
            <w:col w:w="5616"/>
          </w:cols>
          <w:docGrid w:linePitch="360"/>
        </w:sectPr>
      </w:pPr>
      <w:r w:rsidRPr="003E117D">
        <w:lastRenderedPageBreak/>
        <w:t>The month-to-month</w:t>
      </w:r>
      <w:r w:rsidRPr="00A377E3">
        <w:t xml:space="preserve"> measure of food inflation shows higher rate in the month of </w:t>
      </w:r>
      <w:r w:rsidR="00A377E3" w:rsidRPr="00A377E3">
        <w:t>July</w:t>
      </w:r>
      <w:r w:rsidRPr="00A377E3">
        <w:t xml:space="preserve"> compared to the previous reporting period. The latest data released by NSIA exhibits an inflation rate of -1.81 percent in the review period higher from -1.87 percent observed in the previous month. </w:t>
      </w:r>
    </w:p>
    <w:p w:rsidR="00CE5DBF" w:rsidRDefault="00CE5DBF" w:rsidP="00A26860">
      <w:pPr>
        <w:spacing w:before="120" w:after="120" w:line="360" w:lineRule="atLeast"/>
        <w:jc w:val="both"/>
        <w:sectPr w:rsidR="00CE5DBF" w:rsidSect="002046E0">
          <w:type w:val="continuous"/>
          <w:pgSz w:w="12240" w:h="15840"/>
          <w:pgMar w:top="1440" w:right="1440" w:bottom="1440" w:left="1440" w:header="720" w:footer="720" w:gutter="0"/>
          <w:cols w:num="2" w:space="432" w:equalWidth="0">
            <w:col w:w="3312" w:space="432"/>
            <w:col w:w="5616"/>
          </w:cols>
          <w:docGrid w:linePitch="360"/>
        </w:sectPr>
      </w:pPr>
    </w:p>
    <w:p w:rsidR="00836CB9" w:rsidRDefault="00836CB9" w:rsidP="00836CB9">
      <w:pPr>
        <w:ind w:right="30"/>
        <w:jc w:val="both"/>
        <w:rPr>
          <w:rFonts w:cs="Arabic Typesetting"/>
          <w:lang w:bidi="fa-IR"/>
        </w:rPr>
      </w:pPr>
      <w:r>
        <w:rPr>
          <w:rFonts w:eastAsia="Times New Roman" w:cs="Times New Roman"/>
          <w:b/>
          <w:bCs/>
          <w:color w:val="000000"/>
          <w:sz w:val="20"/>
          <w:szCs w:val="20"/>
        </w:rPr>
        <w:lastRenderedPageBreak/>
        <w:t>Source:</w:t>
      </w:r>
      <w:r>
        <w:rPr>
          <w:rFonts w:eastAsia="Times New Roman" w:cs="Times New Roman"/>
          <w:i/>
          <w:iCs/>
          <w:color w:val="000000"/>
          <w:sz w:val="16"/>
          <w:szCs w:val="16"/>
        </w:rPr>
        <w:t xml:space="preserve"> Da Afghanistan Bank and/NSIA</w:t>
      </w:r>
    </w:p>
    <w:p w:rsidR="000E05D4" w:rsidRPr="00537EF2" w:rsidRDefault="00F8304B" w:rsidP="000E05D4">
      <w:pPr>
        <w:ind w:right="30"/>
        <w:jc w:val="both"/>
        <w:rPr>
          <w:rFonts w:cs="Arabic Typesetting"/>
          <w:lang w:bidi="fa-IR"/>
        </w:rPr>
      </w:pPr>
      <w:r>
        <w:rPr>
          <w:rFonts w:eastAsia="Times New Roman" w:cs="Times New Roman"/>
          <w:i/>
          <w:iCs/>
          <w:color w:val="000000"/>
          <w:sz w:val="16"/>
          <w:szCs w:val="16"/>
        </w:rPr>
        <w:br/>
      </w:r>
    </w:p>
    <w:p w:rsidR="00CE5DBF" w:rsidRDefault="00CE5DBF" w:rsidP="00A26860">
      <w:pPr>
        <w:spacing w:before="120" w:after="120" w:line="360" w:lineRule="atLeast"/>
        <w:jc w:val="both"/>
        <w:sectPr w:rsidR="00CE5DBF" w:rsidSect="002046E0">
          <w:type w:val="continuous"/>
          <w:pgSz w:w="12240" w:h="15840"/>
          <w:pgMar w:top="1440" w:right="1440" w:bottom="1440" w:left="1440" w:header="720" w:footer="720" w:gutter="0"/>
          <w:cols w:num="2" w:space="720" w:equalWidth="0">
            <w:col w:w="6000" w:space="720"/>
            <w:col w:w="2640"/>
          </w:cols>
          <w:docGrid w:linePitch="360"/>
        </w:sectPr>
      </w:pPr>
    </w:p>
    <w:p w:rsidR="00ED472F" w:rsidRPr="00E20C11" w:rsidRDefault="00CD127D" w:rsidP="00ED472F">
      <w:pPr>
        <w:jc w:val="both"/>
        <w:rPr>
          <w:rFonts w:ascii="Times New Roman" w:eastAsia="Times New Roman" w:hAnsi="Times New Roman" w:cs="Times New Roman"/>
          <w:sz w:val="24"/>
          <w:szCs w:val="24"/>
        </w:rPr>
      </w:pPr>
      <w:r w:rsidRPr="00A377E3">
        <w:rPr>
          <w:noProof/>
        </w:rPr>
        <w:lastRenderedPageBreak/>
        <w:drawing>
          <wp:anchor distT="0" distB="0" distL="114300" distR="114300" simplePos="0" relativeHeight="251665408" behindDoc="1" locked="0" layoutInCell="1" allowOverlap="1">
            <wp:simplePos x="0" y="0"/>
            <wp:positionH relativeFrom="column">
              <wp:posOffset>3733800</wp:posOffset>
            </wp:positionH>
            <wp:positionV relativeFrom="paragraph">
              <wp:posOffset>1647825</wp:posOffset>
            </wp:positionV>
            <wp:extent cx="2286000" cy="1371600"/>
            <wp:effectExtent l="0" t="0" r="0" b="0"/>
            <wp:wrapTight wrapText="bothSides">
              <wp:wrapPolygon edited="0">
                <wp:start x="0" y="0"/>
                <wp:lineTo x="0" y="21300"/>
                <wp:lineTo x="21420" y="21300"/>
                <wp:lineTo x="21420" y="0"/>
                <wp:lineTo x="0" y="0"/>
              </wp:wrapPolygon>
            </wp:wrapTight>
            <wp:docPr id="6"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ED472F" w:rsidRPr="00E20C11">
        <w:rPr>
          <w:rFonts w:asciiTheme="minorHAnsi" w:hAnsiTheme="minorHAnsi" w:cstheme="majorBidi"/>
          <w:b/>
          <w:bCs/>
          <w:noProof/>
        </w:rPr>
        <w:drawing>
          <wp:anchor distT="0" distB="0" distL="114300" distR="114300" simplePos="0" relativeHeight="251659264" behindDoc="0" locked="0" layoutInCell="1" allowOverlap="1">
            <wp:simplePos x="0" y="0"/>
            <wp:positionH relativeFrom="column">
              <wp:posOffset>3730625</wp:posOffset>
            </wp:positionH>
            <wp:positionV relativeFrom="paragraph">
              <wp:posOffset>0</wp:posOffset>
            </wp:positionV>
            <wp:extent cx="2286000" cy="1371600"/>
            <wp:effectExtent l="0" t="0" r="0" b="0"/>
            <wp:wrapSquare wrapText="bothSides"/>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161A1D" w:rsidRPr="00E20C11">
        <w:rPr>
          <w:rFonts w:asciiTheme="minorHAnsi" w:hAnsiTheme="minorHAnsi" w:cstheme="majorBidi"/>
          <w:b/>
          <w:bCs/>
        </w:rPr>
        <w:t>Price index of bread and cereals</w:t>
      </w:r>
      <w:r w:rsidR="00161A1D" w:rsidRPr="00E20C11">
        <w:rPr>
          <w:rFonts w:asciiTheme="minorHAnsi" w:hAnsiTheme="minorHAnsi" w:cstheme="majorBidi"/>
        </w:rPr>
        <w:t xml:space="preserve"> which accounts for about 15 percent of the consumer price index decreased to 14.07 percent from 15.78 percent (year over year). On the other hand, when measured on the month-to-month basis, this sub-indexes</w:t>
      </w:r>
      <w:r w:rsidR="003B0E3E" w:rsidRPr="00E20C11">
        <w:rPr>
          <w:rFonts w:asciiTheme="minorHAnsi" w:hAnsiTheme="minorHAnsi" w:cstheme="majorBidi"/>
        </w:rPr>
        <w:t xml:space="preserve"> also</w:t>
      </w:r>
      <w:r w:rsidR="00161A1D" w:rsidRPr="00E20C11">
        <w:rPr>
          <w:rFonts w:asciiTheme="minorHAnsi" w:hAnsiTheme="minorHAnsi" w:cstheme="majorBidi"/>
        </w:rPr>
        <w:t xml:space="preserve"> decreased to </w:t>
      </w:r>
      <w:r w:rsidR="00E20C11" w:rsidRPr="00E20C11">
        <w:rPr>
          <w:rFonts w:asciiTheme="minorHAnsi" w:hAnsiTheme="minorHAnsi" w:cstheme="majorBidi"/>
        </w:rPr>
        <w:t>-1.41</w:t>
      </w:r>
      <w:r w:rsidR="00161A1D" w:rsidRPr="00E20C11">
        <w:rPr>
          <w:rFonts w:asciiTheme="minorHAnsi" w:hAnsiTheme="minorHAnsi" w:cstheme="majorBidi"/>
        </w:rPr>
        <w:t xml:space="preserve"> percent from 1.17percent.</w:t>
      </w:r>
      <w:r w:rsidR="00ED472F" w:rsidRPr="00E20C11">
        <w:rPr>
          <w:rFonts w:asciiTheme="minorHAnsi" w:eastAsia="Times New Roman" w:hAnsiTheme="minorHAnsi" w:cs="Times New Roman"/>
        </w:rPr>
        <w:t>This decrease is mainly due to increase of wheat production and improve of wheat supply in the market. Wheat harvest in Farah pro</w:t>
      </w:r>
      <w:r w:rsidR="007A13F5">
        <w:rPr>
          <w:rFonts w:asciiTheme="minorHAnsi" w:eastAsia="Times New Roman" w:hAnsiTheme="minorHAnsi" w:cs="Times New Roman"/>
        </w:rPr>
        <w:t>vince increased by 20 percent</w:t>
      </w:r>
      <w:r w:rsidR="00ED472F" w:rsidRPr="00E20C11">
        <w:rPr>
          <w:rFonts w:asciiTheme="minorHAnsi" w:eastAsia="Times New Roman" w:hAnsiTheme="minorHAnsi" w:cs="Times New Roman"/>
        </w:rPr>
        <w:t xml:space="preserve"> compare to the same period of previous year.</w:t>
      </w:r>
    </w:p>
    <w:p w:rsidR="00161A1D" w:rsidRPr="00E20C11" w:rsidRDefault="00CD127D" w:rsidP="00ED472F">
      <w:pPr>
        <w:jc w:val="both"/>
        <w:rPr>
          <w:rFonts w:asciiTheme="minorHAnsi" w:hAnsiTheme="minorHAnsi" w:cstheme="majorBidi"/>
        </w:rPr>
      </w:pPr>
      <w:r w:rsidRPr="00A377E3">
        <w:rPr>
          <w:noProof/>
        </w:rPr>
        <w:drawing>
          <wp:anchor distT="0" distB="0" distL="114300" distR="114300" simplePos="0" relativeHeight="251666432" behindDoc="1" locked="0" layoutInCell="1" allowOverlap="1">
            <wp:simplePos x="0" y="0"/>
            <wp:positionH relativeFrom="column">
              <wp:posOffset>3714750</wp:posOffset>
            </wp:positionH>
            <wp:positionV relativeFrom="paragraph">
              <wp:posOffset>1384300</wp:posOffset>
            </wp:positionV>
            <wp:extent cx="2286000" cy="1371600"/>
            <wp:effectExtent l="0" t="0" r="0" b="0"/>
            <wp:wrapTight wrapText="bothSides">
              <wp:wrapPolygon edited="0">
                <wp:start x="0" y="0"/>
                <wp:lineTo x="0" y="21300"/>
                <wp:lineTo x="21420" y="21300"/>
                <wp:lineTo x="21420" y="0"/>
                <wp:lineTo x="0" y="0"/>
              </wp:wrapPolygon>
            </wp:wrapTight>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161A1D" w:rsidRPr="00E20C11">
        <w:rPr>
          <w:rFonts w:asciiTheme="minorHAnsi" w:hAnsiTheme="minorHAnsi" w:cstheme="majorBidi"/>
          <w:b/>
          <w:bCs/>
        </w:rPr>
        <w:t>Meat price index</w:t>
      </w:r>
      <w:r w:rsidR="00161A1D" w:rsidRPr="00E20C11">
        <w:rPr>
          <w:rFonts w:asciiTheme="minorHAnsi" w:hAnsiTheme="minorHAnsi" w:cstheme="majorBidi"/>
        </w:rPr>
        <w:t xml:space="preserve"> which is weighted for around 7 percent of the CPI, increased to 12.63 percent from 12.49 percent (year over year). When measured on the month to month basis, Price of this index decreased to 1.26 percent from 1.67 percent.</w:t>
      </w:r>
      <w:r w:rsidR="00ED472F" w:rsidRPr="00E20C11">
        <w:t>Price of livestock has increased mainly due to public engagement in Eid- ul- Adha preparation, and keep</w:t>
      </w:r>
      <w:r w:rsidR="007A13F5">
        <w:t xml:space="preserve">ing livestock for Eid -ul- Adha sacrifices.  </w:t>
      </w:r>
    </w:p>
    <w:p w:rsidR="000D0F77" w:rsidRPr="00E20C11" w:rsidRDefault="00161A1D" w:rsidP="0064108B">
      <w:pPr>
        <w:spacing w:before="120" w:after="120" w:line="360" w:lineRule="atLeast"/>
        <w:jc w:val="both"/>
      </w:pPr>
      <w:r w:rsidRPr="00E20C11">
        <w:rPr>
          <w:rFonts w:asciiTheme="minorHAnsi" w:hAnsiTheme="minorHAnsi" w:cstheme="majorBidi"/>
        </w:rPr>
        <w:t xml:space="preserve">In July 2020, </w:t>
      </w:r>
      <w:r w:rsidRPr="00E20C11">
        <w:rPr>
          <w:rFonts w:asciiTheme="minorHAnsi" w:hAnsiTheme="minorHAnsi" w:cstheme="majorBidi"/>
          <w:b/>
          <w:bCs/>
        </w:rPr>
        <w:t>price index of milk, cheese and eggs</w:t>
      </w:r>
      <w:r w:rsidRPr="00E20C11">
        <w:rPr>
          <w:rFonts w:asciiTheme="minorHAnsi" w:hAnsiTheme="minorHAnsi" w:cstheme="majorBidi"/>
        </w:rPr>
        <w:t xml:space="preserve"> which comprises around 5 percent of the overall index showed lower prices. During the review period, this index decreased to 3.35 percent (year over year) from 3.58 percent observed in previous month. When measured on the month-to-month basis, also decreased to -0.96 percent from -0.86 perc</w:t>
      </w:r>
      <w:r w:rsidR="00667DF6">
        <w:rPr>
          <w:rFonts w:asciiTheme="minorHAnsi" w:hAnsiTheme="minorHAnsi" w:cstheme="majorBidi"/>
        </w:rPr>
        <w:t xml:space="preserve">ent recorded in previous month. Reason behind decrease is the seasonal effect, </w:t>
      </w:r>
      <w:r w:rsidR="0064108B" w:rsidRPr="00E20C11">
        <w:rPr>
          <w:rStyle w:val="tl8wme"/>
          <w:rFonts w:asciiTheme="minorHAnsi" w:hAnsiTheme="minorHAnsi" w:cstheme="majorBidi"/>
        </w:rPr>
        <w:t>July is favorable</w:t>
      </w:r>
      <w:r w:rsidR="00667DF6">
        <w:rPr>
          <w:rStyle w:val="tl8wme"/>
          <w:rFonts w:asciiTheme="minorHAnsi" w:hAnsiTheme="minorHAnsi" w:cstheme="majorBidi"/>
        </w:rPr>
        <w:t xml:space="preserve"> weather </w:t>
      </w:r>
      <w:r w:rsidR="00667DF6" w:rsidRPr="00E20C11">
        <w:rPr>
          <w:rStyle w:val="tl8wme"/>
          <w:rFonts w:asciiTheme="minorHAnsi" w:hAnsiTheme="minorHAnsi" w:cstheme="majorBidi"/>
        </w:rPr>
        <w:t>for</w:t>
      </w:r>
      <w:r w:rsidR="0064108B" w:rsidRPr="00E20C11">
        <w:rPr>
          <w:rStyle w:val="tl8wme"/>
          <w:rFonts w:asciiTheme="minorHAnsi" w:hAnsiTheme="minorHAnsi" w:cstheme="majorBidi"/>
        </w:rPr>
        <w:t xml:space="preserve"> grass growing and provides good grassland for cattle to feed, therefore the production of milk has increased and the price of milk has decreased in this particular period, </w:t>
      </w:r>
      <w:r w:rsidR="00667DF6">
        <w:rPr>
          <w:rStyle w:val="tl8wme"/>
          <w:rFonts w:asciiTheme="minorHAnsi" w:hAnsiTheme="minorHAnsi" w:cstheme="majorBidi"/>
        </w:rPr>
        <w:t xml:space="preserve">and </w:t>
      </w:r>
      <w:r w:rsidR="0064108B" w:rsidRPr="00E20C11">
        <w:rPr>
          <w:rStyle w:val="tl8wme"/>
          <w:rFonts w:asciiTheme="minorHAnsi" w:hAnsiTheme="minorHAnsi" w:cstheme="majorBidi"/>
        </w:rPr>
        <w:t xml:space="preserve">also Illegal import of eggs </w:t>
      </w:r>
      <w:r w:rsidR="00667DF6">
        <w:rPr>
          <w:rStyle w:val="tl8wme"/>
          <w:rFonts w:asciiTheme="minorHAnsi" w:hAnsiTheme="minorHAnsi" w:cstheme="majorBidi"/>
        </w:rPr>
        <w:t xml:space="preserve">has increased the supply of mentioned index which has </w:t>
      </w:r>
      <w:r w:rsidR="0064108B" w:rsidRPr="00E20C11">
        <w:rPr>
          <w:rStyle w:val="tl8wme"/>
          <w:rFonts w:asciiTheme="minorHAnsi" w:hAnsiTheme="minorHAnsi" w:cstheme="majorBidi"/>
        </w:rPr>
        <w:t>caused</w:t>
      </w:r>
      <w:r w:rsidR="00667DF6">
        <w:rPr>
          <w:rStyle w:val="tl8wme"/>
          <w:rFonts w:asciiTheme="minorHAnsi" w:hAnsiTheme="minorHAnsi" w:cstheme="majorBidi"/>
        </w:rPr>
        <w:t xml:space="preserve"> the</w:t>
      </w:r>
      <w:r w:rsidR="0064108B" w:rsidRPr="00E20C11">
        <w:rPr>
          <w:rStyle w:val="tl8wme"/>
          <w:rFonts w:asciiTheme="minorHAnsi" w:hAnsiTheme="minorHAnsi" w:cstheme="majorBidi"/>
        </w:rPr>
        <w:t xml:space="preserve"> decrease in price of eggs in domestic market.</w:t>
      </w: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7A0D39" w:rsidRDefault="007A0D39" w:rsidP="00667DF6">
      <w:pPr>
        <w:spacing w:before="120" w:after="120" w:line="360" w:lineRule="atLeast"/>
        <w:jc w:val="both"/>
        <w:rPr>
          <w:b/>
          <w:bCs/>
        </w:rPr>
      </w:pPr>
    </w:p>
    <w:p w:rsidR="00863EE8" w:rsidRPr="00A377E3" w:rsidRDefault="00161A1D" w:rsidP="007A0D39">
      <w:pPr>
        <w:spacing w:before="120" w:after="120" w:line="360" w:lineRule="atLeast"/>
        <w:jc w:val="both"/>
      </w:pPr>
      <w:r w:rsidRPr="00A377E3">
        <w:rPr>
          <w:b/>
          <w:bCs/>
        </w:rPr>
        <w:t>Oils and Fats index</w:t>
      </w:r>
      <w:r w:rsidRPr="00A377E3">
        <w:t xml:space="preserve"> which comprises 4.6 percent of overall index, during the period decreased to 19.60 percent from 21.62 (Y-o-Y). </w:t>
      </w:r>
      <w:r w:rsidR="00667DF6">
        <w:t>And also</w:t>
      </w:r>
      <w:r w:rsidRPr="00A377E3">
        <w:t xml:space="preserve">, price of this index </w:t>
      </w:r>
      <w:r w:rsidR="00667DF6">
        <w:t>has</w:t>
      </w:r>
      <w:r w:rsidRPr="00A377E3">
        <w:t xml:space="preserve"> decreased to 0.02 percent from 2.30 percent on the month-to-month basis. </w:t>
      </w:r>
      <w:r w:rsidR="0064108B" w:rsidRPr="00A377E3">
        <w:t xml:space="preserve">In the </w:t>
      </w:r>
      <w:r w:rsidR="007A0D39" w:rsidRPr="00A377E3">
        <w:rPr>
          <w:noProof/>
        </w:rPr>
        <w:drawing>
          <wp:anchor distT="6529" distB="0" distL="125480" distR="122228" simplePos="0" relativeHeight="251658240" behindDoc="1" locked="0" layoutInCell="1" allowOverlap="1">
            <wp:simplePos x="0" y="0"/>
            <wp:positionH relativeFrom="column">
              <wp:posOffset>3943350</wp:posOffset>
            </wp:positionH>
            <wp:positionV relativeFrom="paragraph">
              <wp:posOffset>0</wp:posOffset>
            </wp:positionV>
            <wp:extent cx="2286000" cy="1371600"/>
            <wp:effectExtent l="0" t="0" r="0" b="0"/>
            <wp:wrapTight wrapText="bothSides">
              <wp:wrapPolygon edited="0">
                <wp:start x="0" y="0"/>
                <wp:lineTo x="0" y="21300"/>
                <wp:lineTo x="21420" y="21300"/>
                <wp:lineTo x="21420" y="0"/>
                <wp:lineTo x="0" y="0"/>
              </wp:wrapPolygon>
            </wp:wrapTight>
            <wp:docPr id="26"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64108B" w:rsidRPr="00A377E3">
        <w:t>previous month, the price of oils and fats in the country had increased due to transport restrictions and inadequacy supply chain to the domestic market.</w:t>
      </w:r>
      <w:r w:rsidR="00667DF6">
        <w:t xml:space="preserve"> Noww</w:t>
      </w:r>
      <w:r w:rsidR="0064108B" w:rsidRPr="00A377E3">
        <w:t>ith the eased of restrictions and smooth supply chain helped to bring back the price of mentioned index to the normal level.</w:t>
      </w:r>
    </w:p>
    <w:tbl>
      <w:tblPr>
        <w:tblW w:w="10083" w:type="dxa"/>
        <w:jc w:val="center"/>
        <w:tblLook w:val="04A0"/>
      </w:tblPr>
      <w:tblGrid>
        <w:gridCol w:w="4638"/>
        <w:gridCol w:w="5445"/>
      </w:tblGrid>
      <w:tr w:rsidR="00863EE8" w:rsidRPr="00A377E3" w:rsidTr="00B43B62">
        <w:trPr>
          <w:trHeight w:val="279"/>
          <w:jc w:val="center"/>
        </w:trPr>
        <w:tc>
          <w:tcPr>
            <w:tcW w:w="4638" w:type="dxa"/>
            <w:tcBorders>
              <w:top w:val="nil"/>
              <w:bottom w:val="nil"/>
            </w:tcBorders>
            <w:shd w:val="clear" w:color="000000" w:fill="FFFFFF"/>
            <w:noWrap/>
            <w:vAlign w:val="center"/>
            <w:hideMark/>
          </w:tcPr>
          <w:p w:rsidR="00863EE8" w:rsidRPr="00A377E3" w:rsidRDefault="00863EE8" w:rsidP="00AF265A">
            <w:pPr>
              <w:spacing w:after="0" w:line="240" w:lineRule="auto"/>
              <w:jc w:val="center"/>
              <w:rPr>
                <w:rFonts w:eastAsia="Times New Roman" w:cs="Times New Roman"/>
                <w:sz w:val="18"/>
                <w:szCs w:val="18"/>
              </w:rPr>
            </w:pPr>
          </w:p>
        </w:tc>
        <w:tc>
          <w:tcPr>
            <w:tcW w:w="5445" w:type="dxa"/>
            <w:tcBorders>
              <w:top w:val="nil"/>
              <w:bottom w:val="nil"/>
            </w:tcBorders>
            <w:shd w:val="clear" w:color="000000" w:fill="FFFFFF"/>
            <w:noWrap/>
            <w:vAlign w:val="center"/>
            <w:hideMark/>
          </w:tcPr>
          <w:p w:rsidR="00863EE8" w:rsidRPr="00A377E3" w:rsidRDefault="00863EE8" w:rsidP="00AF265A">
            <w:pPr>
              <w:spacing w:after="0" w:line="240" w:lineRule="auto"/>
              <w:jc w:val="center"/>
              <w:rPr>
                <w:rFonts w:eastAsia="Times New Roman" w:cs="Times New Roman"/>
                <w:sz w:val="18"/>
                <w:szCs w:val="18"/>
              </w:rPr>
            </w:pPr>
          </w:p>
        </w:tc>
      </w:tr>
    </w:tbl>
    <w:p w:rsidR="00E562CC" w:rsidRPr="00A377E3" w:rsidRDefault="00E562CC" w:rsidP="00E562CC">
      <w:pPr>
        <w:spacing w:before="120" w:after="120" w:line="360" w:lineRule="atLeast"/>
        <w:jc w:val="both"/>
        <w:rPr>
          <w:rFonts w:eastAsia="Times New Roman" w:cs="Times New Roman"/>
          <w:b/>
          <w:bCs/>
          <w:sz w:val="20"/>
          <w:szCs w:val="20"/>
        </w:rPr>
      </w:pPr>
    </w:p>
    <w:p w:rsidR="00B26797" w:rsidRPr="00A377E3" w:rsidRDefault="00B26797" w:rsidP="00E562CC">
      <w:pPr>
        <w:spacing w:before="120" w:after="120" w:line="360" w:lineRule="atLeast"/>
        <w:jc w:val="both"/>
        <w:rPr>
          <w:rFonts w:eastAsia="Times New Roman" w:cs="Times New Roman"/>
          <w:b/>
          <w:bCs/>
          <w:sz w:val="20"/>
          <w:szCs w:val="20"/>
        </w:rPr>
      </w:pPr>
    </w:p>
    <w:p w:rsidR="002F3A76" w:rsidRPr="00A377E3" w:rsidRDefault="002F3A76" w:rsidP="00E562CC">
      <w:pPr>
        <w:spacing w:before="120" w:after="120" w:line="360" w:lineRule="atLeast"/>
        <w:jc w:val="both"/>
      </w:pPr>
    </w:p>
    <w:p w:rsidR="002F3A76" w:rsidRPr="00A377E3" w:rsidRDefault="002F3A76" w:rsidP="00E562CC">
      <w:pPr>
        <w:spacing w:before="120" w:after="120" w:line="360" w:lineRule="atLeast"/>
        <w:jc w:val="both"/>
      </w:pPr>
    </w:p>
    <w:p w:rsidR="00BC72FB" w:rsidRPr="00A377E3" w:rsidRDefault="00BC72FB" w:rsidP="00E562CC">
      <w:pPr>
        <w:spacing w:before="120" w:after="120" w:line="360" w:lineRule="atLeast"/>
        <w:jc w:val="both"/>
        <w:rPr>
          <w:noProof/>
        </w:rPr>
      </w:pPr>
    </w:p>
    <w:p w:rsidR="00B26797" w:rsidRPr="00A377E3" w:rsidRDefault="00B26797" w:rsidP="00E562CC">
      <w:pPr>
        <w:spacing w:before="120" w:after="120" w:line="360" w:lineRule="atLeast"/>
        <w:jc w:val="both"/>
        <w:sectPr w:rsidR="00B26797" w:rsidRPr="00A377E3" w:rsidSect="002F2AC8">
          <w:pgSz w:w="12240" w:h="15840"/>
          <w:pgMar w:top="1440" w:right="1440" w:bottom="1440" w:left="1440" w:header="720" w:footer="720" w:gutter="0"/>
          <w:cols w:num="2" w:space="432" w:equalWidth="0">
            <w:col w:w="5616" w:space="432"/>
            <w:col w:w="3312"/>
          </w:cols>
          <w:docGrid w:linePitch="360"/>
        </w:sectPr>
      </w:pPr>
    </w:p>
    <w:p w:rsidR="00876E16" w:rsidRPr="00A377E3" w:rsidRDefault="00916954" w:rsidP="00EF74CF">
      <w:pPr>
        <w:spacing w:before="120" w:after="120" w:line="360" w:lineRule="atLeast"/>
        <w:jc w:val="both"/>
        <w:rPr>
          <w:noProof/>
        </w:rPr>
      </w:pPr>
      <w:r w:rsidRPr="00A377E3">
        <w:rPr>
          <w:noProof/>
        </w:rPr>
        <w:lastRenderedPageBreak/>
        <w:drawing>
          <wp:inline distT="0" distB="0" distL="0" distR="0">
            <wp:extent cx="2219325" cy="1371600"/>
            <wp:effectExtent l="0" t="0" r="9525" b="0"/>
            <wp:docPr id="8"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3107" w:rsidRPr="00A377E3" w:rsidRDefault="008E6F4A" w:rsidP="00EF74CF">
      <w:pPr>
        <w:spacing w:before="120" w:after="120" w:line="360" w:lineRule="atLeast"/>
        <w:jc w:val="both"/>
        <w:rPr>
          <w:noProof/>
        </w:rPr>
      </w:pPr>
      <w:r w:rsidRPr="00A377E3">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314325</wp:posOffset>
            </wp:positionV>
            <wp:extent cx="2286000" cy="1371600"/>
            <wp:effectExtent l="0" t="0" r="0" b="0"/>
            <wp:wrapSquare wrapText="bothSides"/>
            <wp:docPr id="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A1210" w:rsidRPr="00A377E3" w:rsidRDefault="007A1210" w:rsidP="00EF74CF">
      <w:pPr>
        <w:spacing w:before="120" w:after="120" w:line="360" w:lineRule="atLeast"/>
        <w:jc w:val="both"/>
        <w:rPr>
          <w:noProof/>
        </w:rPr>
      </w:pPr>
    </w:p>
    <w:p w:rsidR="00876E16" w:rsidRPr="00A377E3" w:rsidRDefault="00876E16" w:rsidP="00876E16">
      <w:pPr>
        <w:spacing w:before="120" w:after="120" w:line="360" w:lineRule="atLeast"/>
        <w:jc w:val="both"/>
        <w:rPr>
          <w:noProof/>
        </w:rPr>
      </w:pPr>
    </w:p>
    <w:p w:rsidR="00876E16" w:rsidRPr="00A377E3" w:rsidRDefault="001E6F21" w:rsidP="00876E16">
      <w:pPr>
        <w:spacing w:before="120" w:after="120" w:line="360" w:lineRule="atLeast"/>
        <w:jc w:val="both"/>
        <w:rPr>
          <w:noProof/>
        </w:rPr>
      </w:pPr>
      <w:r w:rsidRPr="00A377E3">
        <w:rPr>
          <w:noProof/>
        </w:rPr>
        <w:drawing>
          <wp:inline distT="0" distB="0" distL="0" distR="0">
            <wp:extent cx="2162175" cy="137160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76E16" w:rsidRPr="00A377E3" w:rsidRDefault="00876E16" w:rsidP="00876E16">
      <w:pPr>
        <w:spacing w:before="120" w:after="120" w:line="360" w:lineRule="atLeast"/>
        <w:jc w:val="both"/>
        <w:rPr>
          <w:noProof/>
        </w:rPr>
      </w:pPr>
    </w:p>
    <w:p w:rsidR="00876E16" w:rsidRPr="00A377E3" w:rsidRDefault="00876E16" w:rsidP="00876E16">
      <w:pPr>
        <w:spacing w:before="120" w:after="120" w:line="360" w:lineRule="atLeast"/>
        <w:jc w:val="both"/>
        <w:rPr>
          <w:noProof/>
        </w:rPr>
      </w:pPr>
    </w:p>
    <w:p w:rsidR="0032069B" w:rsidRPr="00A377E3" w:rsidRDefault="0032069B" w:rsidP="00876E16">
      <w:pPr>
        <w:spacing w:before="120" w:after="120" w:line="360" w:lineRule="atLeast"/>
        <w:jc w:val="both"/>
        <w:rPr>
          <w:noProof/>
        </w:rPr>
      </w:pPr>
    </w:p>
    <w:p w:rsidR="00284F77" w:rsidRPr="00A377E3" w:rsidRDefault="00284F77" w:rsidP="00876E16">
      <w:pPr>
        <w:spacing w:before="120" w:after="120" w:line="360" w:lineRule="atLeast"/>
        <w:jc w:val="both"/>
        <w:rPr>
          <w:noProof/>
        </w:rPr>
      </w:pPr>
    </w:p>
    <w:p w:rsidR="00284F77" w:rsidRPr="00A377E3" w:rsidRDefault="00284F77" w:rsidP="00876E16">
      <w:pPr>
        <w:spacing w:before="120" w:after="120" w:line="360" w:lineRule="atLeast"/>
        <w:jc w:val="both"/>
        <w:rPr>
          <w:noProof/>
        </w:rPr>
      </w:pPr>
    </w:p>
    <w:p w:rsidR="00555A15" w:rsidRPr="00A377E3" w:rsidRDefault="00555A15" w:rsidP="00876E16">
      <w:pPr>
        <w:spacing w:before="120" w:after="120" w:line="360" w:lineRule="atLeast"/>
        <w:jc w:val="both"/>
        <w:rPr>
          <w:noProof/>
        </w:rPr>
      </w:pPr>
    </w:p>
    <w:p w:rsidR="002A51BF" w:rsidRPr="00A377E3" w:rsidRDefault="002A51BF" w:rsidP="00876E16">
      <w:pPr>
        <w:spacing w:before="120" w:after="120" w:line="360" w:lineRule="atLeast"/>
        <w:jc w:val="both"/>
        <w:rPr>
          <w:noProof/>
        </w:rPr>
      </w:pPr>
    </w:p>
    <w:p w:rsidR="00161A1D" w:rsidRPr="00A377E3" w:rsidRDefault="00161A1D" w:rsidP="0064108B">
      <w:pPr>
        <w:jc w:val="both"/>
      </w:pPr>
      <w:r w:rsidRPr="00A377E3">
        <w:rPr>
          <w:b/>
          <w:bCs/>
        </w:rPr>
        <w:t>Fresh and dried Fruit</w:t>
      </w:r>
      <w:r w:rsidRPr="00A377E3">
        <w:t xml:space="preserve"> prices increased in the month of July 2020. Observing the data, during the review period, this index which comprises of 5 percent of the whole </w:t>
      </w:r>
      <w:r w:rsidRPr="00A377E3">
        <w:lastRenderedPageBreak/>
        <w:t xml:space="preserve">index increased to 20.05 percent (year over year) from 10.88 percent recorded in the previous month. On the other hand, month-to-month </w:t>
      </w:r>
      <w:r w:rsidR="0064108B" w:rsidRPr="00A377E3">
        <w:t>basis</w:t>
      </w:r>
      <w:r w:rsidRPr="00A377E3">
        <w:t xml:space="preserve"> also increased to 1.79 percent from -3.76 percent.</w:t>
      </w:r>
      <w:r w:rsidR="0064108B" w:rsidRPr="00A377E3">
        <w:t xml:space="preserve"> Afghanistan exports 350 thousand tons of fruits and vegetable to Pakistan on annual basis, during covid-19 pandemic, the borders were closed for any kind of trade with Afghanistan.  Now the borders reopened between Afghanistan and Pakistan and started their trade which caused increased in the price of this index.</w:t>
      </w:r>
    </w:p>
    <w:p w:rsidR="00161A1D" w:rsidRPr="00A377E3" w:rsidRDefault="00161A1D" w:rsidP="0064108B">
      <w:pPr>
        <w:jc w:val="both"/>
      </w:pPr>
      <w:r w:rsidRPr="00A377E3">
        <w:rPr>
          <w:b/>
          <w:bCs/>
        </w:rPr>
        <w:t xml:space="preserve">Vegetables price index </w:t>
      </w:r>
      <w:r w:rsidRPr="00A377E3">
        <w:t xml:space="preserve">which is dedicated for 6 percent of the overall index, decreased to </w:t>
      </w:r>
      <w:r w:rsidRPr="00A377E3">
        <w:rPr>
          <w:lang w:bidi="ps-AF"/>
        </w:rPr>
        <w:t>14.60</w:t>
      </w:r>
      <w:r w:rsidRPr="00A377E3">
        <w:t xml:space="preserve"> percent (year over year) from 16.15 percent observed in the previous month. When measured on the mo</w:t>
      </w:r>
      <w:r w:rsidR="00667DF6">
        <w:t>nth to month basis this index has</w:t>
      </w:r>
      <w:r w:rsidRPr="00A377E3">
        <w:t xml:space="preserve"> increased to -11.85 percent; however, it was recorded -15.03 percent in the previous month. </w:t>
      </w:r>
      <w:r w:rsidR="0064108B" w:rsidRPr="00A377E3">
        <w:t xml:space="preserve">The main reason behind decrease of this index is, seasonal effect which </w:t>
      </w:r>
      <w:r w:rsidR="00667DF6">
        <w:t>has led</w:t>
      </w:r>
      <w:r w:rsidR="0064108B" w:rsidRPr="00A377E3">
        <w:t xml:space="preserve"> to </w:t>
      </w:r>
      <w:r w:rsidR="00667DF6" w:rsidRPr="00A377E3">
        <w:t>increase</w:t>
      </w:r>
      <w:r w:rsidR="0064108B" w:rsidRPr="00A377E3">
        <w:t xml:space="preserve"> of supply to the domestic market</w:t>
      </w:r>
    </w:p>
    <w:p w:rsidR="00161A1D" w:rsidRPr="00A377E3" w:rsidRDefault="00161A1D" w:rsidP="00555A15">
      <w:pPr>
        <w:jc w:val="both"/>
      </w:pPr>
      <w:r w:rsidRPr="00A377E3">
        <w:rPr>
          <w:b/>
          <w:bCs/>
        </w:rPr>
        <w:t xml:space="preserve">Price index of sugar and sweets </w:t>
      </w:r>
      <w:r w:rsidRPr="00A377E3">
        <w:t>decreased on year over year basis. This index which comprises around 2.7 percent of the consumer price index decreased to 2.84 percent (year over year) from 3.59 percent. When measured on month to month basis, this index also decreased to 0.10 from 1.15 percent. However, this change is not likely to affect the CPI dramatically, because it does not make significant weight in the index</w:t>
      </w:r>
      <w:r w:rsidRPr="0062050B">
        <w:t xml:space="preserve">. </w:t>
      </w:r>
      <w:r w:rsidR="00555A15" w:rsidRPr="0062050B">
        <w:t xml:space="preserve">One of the main reasons behind decrease of this index is bee keeping and honey production in the country, </w:t>
      </w:r>
      <w:r w:rsidR="0039443F" w:rsidRPr="0062050B">
        <w:t>which has</w:t>
      </w:r>
      <w:r w:rsidR="00555A15" w:rsidRPr="0062050B">
        <w:t xml:space="preserve"> significantly incre</w:t>
      </w:r>
      <w:r w:rsidR="00400522" w:rsidRPr="0062050B">
        <w:t xml:space="preserve">ased in recent </w:t>
      </w:r>
      <w:r w:rsidR="0039443F" w:rsidRPr="0062050B">
        <w:t>years, for</w:t>
      </w:r>
      <w:r w:rsidR="00555A15" w:rsidRPr="0062050B">
        <w:t xml:space="preserve"> example in Farah </w:t>
      </w:r>
      <w:r w:rsidR="0039443F" w:rsidRPr="0062050B">
        <w:t>Province the</w:t>
      </w:r>
      <w:r w:rsidR="00555A15" w:rsidRPr="0062050B">
        <w:t xml:space="preserve"> production of honey has increased by 40 percent during the period.</w:t>
      </w:r>
    </w:p>
    <w:p w:rsidR="00161A1D" w:rsidRPr="00A377E3" w:rsidRDefault="00161A1D" w:rsidP="00161A1D">
      <w:pPr>
        <w:spacing w:before="120" w:after="120" w:line="360" w:lineRule="atLeast"/>
        <w:jc w:val="both"/>
      </w:pPr>
    </w:p>
    <w:p w:rsidR="0032069B" w:rsidRPr="00A377E3" w:rsidRDefault="0032069B" w:rsidP="00161A1D">
      <w:pPr>
        <w:jc w:val="both"/>
      </w:pPr>
    </w:p>
    <w:p w:rsidR="008F06C4" w:rsidRPr="00A377E3" w:rsidRDefault="008F06C4" w:rsidP="008C4A4A">
      <w:pPr>
        <w:spacing w:before="120" w:after="120" w:line="360" w:lineRule="atLeast"/>
        <w:jc w:val="both"/>
      </w:pPr>
    </w:p>
    <w:p w:rsidR="007C225E" w:rsidRPr="00A377E3" w:rsidRDefault="007C225E" w:rsidP="008C4A4A">
      <w:pPr>
        <w:spacing w:before="120" w:after="120" w:line="360" w:lineRule="atLeast"/>
        <w:jc w:val="both"/>
        <w:sectPr w:rsidR="007C225E" w:rsidRPr="00A377E3" w:rsidSect="00486EAB">
          <w:pgSz w:w="12240" w:h="15840"/>
          <w:pgMar w:top="1440" w:right="1440" w:bottom="1170" w:left="1440" w:header="720" w:footer="720" w:gutter="0"/>
          <w:cols w:num="2" w:space="432" w:equalWidth="0">
            <w:col w:w="3312" w:space="432"/>
            <w:col w:w="5616"/>
          </w:cols>
          <w:docGrid w:linePitch="360"/>
        </w:sectPr>
      </w:pPr>
    </w:p>
    <w:p w:rsidR="00EC5B41" w:rsidRPr="00A377E3" w:rsidRDefault="00EC5B41" w:rsidP="00A0642D">
      <w:pPr>
        <w:spacing w:before="120" w:after="120" w:line="360" w:lineRule="atLeast"/>
        <w:jc w:val="both"/>
        <w:rPr>
          <w:noProof/>
        </w:rPr>
      </w:pPr>
    </w:p>
    <w:p w:rsidR="00EC5B41" w:rsidRPr="00A377E3" w:rsidRDefault="00EC5B41" w:rsidP="00A0642D">
      <w:pPr>
        <w:spacing w:before="120" w:after="120" w:line="360" w:lineRule="atLeast"/>
        <w:jc w:val="both"/>
        <w:rPr>
          <w:noProof/>
        </w:rPr>
      </w:pPr>
    </w:p>
    <w:p w:rsidR="0032069B" w:rsidRPr="00A377E3" w:rsidRDefault="0032069B" w:rsidP="00A0642D">
      <w:pPr>
        <w:spacing w:before="120" w:after="120" w:line="360" w:lineRule="atLeast"/>
        <w:jc w:val="both"/>
        <w:rPr>
          <w:noProof/>
        </w:rPr>
      </w:pPr>
    </w:p>
    <w:p w:rsidR="00161A1D" w:rsidRPr="00A377E3" w:rsidRDefault="00161A1D" w:rsidP="00161A1D">
      <w:pPr>
        <w:jc w:val="both"/>
        <w:rPr>
          <w:b/>
          <w:bCs/>
          <w:noProof/>
        </w:rPr>
      </w:pPr>
      <w:r w:rsidRPr="00A377E3">
        <w:rPr>
          <w:b/>
          <w:bCs/>
          <w:noProof/>
        </w:rPr>
        <w:t xml:space="preserve">Spices </w:t>
      </w:r>
    </w:p>
    <w:p w:rsidR="00161A1D" w:rsidRPr="00A377E3" w:rsidRDefault="00161A1D" w:rsidP="00161A1D">
      <w:pPr>
        <w:jc w:val="both"/>
      </w:pPr>
      <w:r w:rsidRPr="00A377E3">
        <w:rPr>
          <w:noProof/>
        </w:rPr>
        <w:lastRenderedPageBreak/>
        <w:t xml:space="preserve">During the reporting  period, there was  decrease in </w:t>
      </w:r>
      <w:r w:rsidRPr="00A377E3">
        <w:rPr>
          <w:b/>
          <w:bCs/>
          <w:noProof/>
        </w:rPr>
        <w:t>spices price index</w:t>
      </w:r>
      <w:r w:rsidRPr="00A377E3">
        <w:rPr>
          <w:noProof/>
        </w:rPr>
        <w:t xml:space="preserve">. </w:t>
      </w:r>
      <w:r w:rsidRPr="00A377E3">
        <w:t>Observing the data, this index significantly decreased to 1.70 percent from 11.57 percent (Year over year). In addition, when measured on month to month basis, also decreased to -9.69 percent from -4.80 percent.</w:t>
      </w:r>
    </w:p>
    <w:p w:rsidR="00555A15" w:rsidRPr="00A377E3" w:rsidRDefault="00555A15" w:rsidP="00161A1D">
      <w:pPr>
        <w:spacing w:before="120" w:after="120" w:line="360" w:lineRule="atLeast"/>
        <w:jc w:val="both"/>
        <w:rPr>
          <w:b/>
          <w:bCs/>
          <w:noProof/>
        </w:rPr>
      </w:pPr>
      <w:r w:rsidRPr="00C95873">
        <w:t>The main reason for the decrease of this index is the local harvest season and high supply of garlic and pepper to the domestic market.</w:t>
      </w:r>
    </w:p>
    <w:p w:rsidR="00161A1D" w:rsidRPr="00A377E3" w:rsidRDefault="00555A15" w:rsidP="00161A1D">
      <w:pPr>
        <w:spacing w:before="120" w:after="120" w:line="360" w:lineRule="atLeast"/>
        <w:jc w:val="both"/>
        <w:rPr>
          <w:noProof/>
        </w:rPr>
      </w:pPr>
      <w:r w:rsidRPr="00A377E3">
        <w:rPr>
          <w:b/>
          <w:bCs/>
          <w:noProof/>
        </w:rPr>
        <w:t>Non</w:t>
      </w:r>
      <w:r w:rsidR="00161A1D" w:rsidRPr="00A377E3">
        <w:rPr>
          <w:b/>
          <w:bCs/>
          <w:noProof/>
        </w:rPr>
        <w:t xml:space="preserve">-alcoholic beverages </w:t>
      </w:r>
      <w:r w:rsidR="00161A1D" w:rsidRPr="00A377E3">
        <w:t xml:space="preserve">increased to 5.15 percent in July from 4.08 percent recorded in previous month. Measuring on month to month basis decreased to 0.51 percent from 0.58 percent in the month of </w:t>
      </w:r>
      <w:r w:rsidR="00A377E3" w:rsidRPr="00A377E3">
        <w:t>July</w:t>
      </w:r>
      <w:r w:rsidR="00161A1D" w:rsidRPr="00A377E3">
        <w:t xml:space="preserve"> 2020.</w:t>
      </w:r>
    </w:p>
    <w:p w:rsidR="00032258" w:rsidRDefault="00555A15" w:rsidP="00555A15">
      <w:pPr>
        <w:spacing w:before="120" w:after="120" w:line="360" w:lineRule="atLeast"/>
        <w:jc w:val="both"/>
        <w:rPr>
          <w:color w:val="548DD4"/>
        </w:rPr>
        <w:sectPr w:rsidR="00032258" w:rsidSect="00147A6F">
          <w:type w:val="continuous"/>
          <w:pgSz w:w="12240" w:h="15840"/>
          <w:pgMar w:top="1440" w:right="1440" w:bottom="1170" w:left="1440" w:header="720" w:footer="720" w:gutter="0"/>
          <w:cols w:space="432"/>
          <w:docGrid w:linePitch="360"/>
        </w:sectPr>
      </w:pPr>
      <w:r w:rsidRPr="00A377E3">
        <w:rPr>
          <w:noProof/>
        </w:rPr>
        <w:t>The reason for increase of this index is seasonal effects, usuallyin the summer  consumptio</w:t>
      </w:r>
      <w:r w:rsidR="00455E43">
        <w:rPr>
          <w:noProof/>
        </w:rPr>
        <w:t>n of non-alcoholic beverages</w:t>
      </w:r>
      <w:r w:rsidRPr="00A377E3">
        <w:rPr>
          <w:noProof/>
        </w:rPr>
        <w:t xml:space="preserve"> increasing.</w:t>
      </w:r>
      <w:r w:rsidR="00161A1D">
        <w:rPr>
          <w:noProof/>
        </w:rPr>
        <w:tab/>
      </w:r>
      <w:r w:rsidR="00032258">
        <w:rPr>
          <w:noProof/>
        </w:rPr>
        <w:tab/>
      </w:r>
      <w:r w:rsidR="00032258">
        <w:rPr>
          <w:noProof/>
        </w:rPr>
        <w:tab/>
      </w:r>
      <w:r w:rsidR="00032258">
        <w:rPr>
          <w:noProof/>
        </w:rPr>
        <w:tab/>
      </w:r>
      <w:r w:rsidR="00032258">
        <w:rPr>
          <w:noProof/>
        </w:rPr>
        <w:tab/>
      </w:r>
      <w:r w:rsidR="00032258">
        <w:rPr>
          <w:noProof/>
        </w:rPr>
        <w:tab/>
      </w:r>
      <w:r w:rsidR="00032258">
        <w:rPr>
          <w:noProof/>
        </w:rPr>
        <w:tab/>
      </w:r>
      <w:r w:rsidR="00032258">
        <w:rPr>
          <w:noProof/>
        </w:rPr>
        <w:tab/>
      </w:r>
      <w:r w:rsidR="00032258">
        <w:rPr>
          <w:noProof/>
        </w:rPr>
        <w:tab/>
      </w:r>
      <w:r w:rsidR="00032258">
        <w:rPr>
          <w:noProof/>
        </w:rPr>
        <w:tab/>
      </w:r>
      <w:r w:rsidR="00032258">
        <w:rPr>
          <w:noProof/>
        </w:rPr>
        <w:tab/>
      </w:r>
      <w:r w:rsidR="00032258">
        <w:rPr>
          <w:noProof/>
        </w:rPr>
        <w:tab/>
      </w:r>
      <w:r w:rsidR="00032258">
        <w:rPr>
          <w:noProof/>
        </w:rPr>
        <w:tab/>
      </w:r>
      <w:r w:rsidR="00032258">
        <w:rPr>
          <w:noProof/>
        </w:rPr>
        <w:tab/>
      </w:r>
      <w:r w:rsidR="00032258">
        <w:rPr>
          <w:noProof/>
        </w:rPr>
        <w:tab/>
      </w:r>
      <w:r w:rsidR="008828CB">
        <w:rPr>
          <w:noProof/>
        </w:rPr>
        <w:tab/>
      </w:r>
      <w:r w:rsidR="008828CB">
        <w:rPr>
          <w:noProof/>
        </w:rPr>
        <w:tab/>
      </w:r>
      <w:r w:rsidR="008828CB">
        <w:rPr>
          <w:noProof/>
        </w:rPr>
        <w:tab/>
      </w:r>
    </w:p>
    <w:p w:rsidR="00B44BFF" w:rsidRPr="00F74A03" w:rsidRDefault="001474EE" w:rsidP="00032258">
      <w:pPr>
        <w:spacing w:before="120" w:after="120" w:line="360" w:lineRule="atLeast"/>
        <w:rPr>
          <w:color w:val="548DD4"/>
        </w:rPr>
        <w:sectPr w:rsidR="00B44BFF" w:rsidRPr="00F74A03" w:rsidSect="0028538E">
          <w:type w:val="continuous"/>
          <w:pgSz w:w="12240" w:h="15840"/>
          <w:pgMar w:top="1440" w:right="1440" w:bottom="1170" w:left="1440" w:header="720" w:footer="720" w:gutter="0"/>
          <w:cols w:num="2" w:space="432"/>
          <w:docGrid w:linePitch="360"/>
        </w:sectPr>
      </w:pPr>
      <w:r>
        <w:rPr>
          <w:noProof/>
        </w:rPr>
        <w:lastRenderedPageBreak/>
        <w:drawing>
          <wp:inline distT="0" distB="0" distL="0" distR="0">
            <wp:extent cx="2286000" cy="13716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47A6F" w:rsidRPr="007E71E8" w:rsidRDefault="00147A6F" w:rsidP="00B44BFF">
      <w:pPr>
        <w:spacing w:before="120" w:after="120" w:line="360" w:lineRule="atLeast"/>
        <w:jc w:val="both"/>
        <w:rPr>
          <w:b/>
          <w:bCs/>
          <w:i/>
          <w:iCs/>
          <w:color w:val="1F497D"/>
          <w:sz w:val="10"/>
          <w:szCs w:val="10"/>
          <w:u w:val="single"/>
        </w:rPr>
        <w:sectPr w:rsidR="00147A6F" w:rsidRPr="007E71E8" w:rsidSect="00392999">
          <w:pgSz w:w="12240" w:h="15840"/>
          <w:pgMar w:top="1440" w:right="1440" w:bottom="1440" w:left="1440" w:header="720" w:footer="720" w:gutter="0"/>
          <w:cols w:num="2" w:space="432" w:equalWidth="0">
            <w:col w:w="5616" w:space="432"/>
            <w:col w:w="3312"/>
          </w:cols>
          <w:docGrid w:linePitch="360"/>
        </w:sectPr>
      </w:pPr>
    </w:p>
    <w:p w:rsidR="00161A1D" w:rsidRPr="00F74A03" w:rsidRDefault="00A377E3" w:rsidP="002815F5">
      <w:pPr>
        <w:pStyle w:val="Heading1"/>
      </w:pPr>
      <w:bookmarkStart w:id="8" w:name="_Toc91670359"/>
      <w:r>
        <w:rPr>
          <w:noProof/>
          <w:lang w:val="en-US" w:eastAsia="en-US"/>
        </w:rPr>
        <w:lastRenderedPageBreak/>
        <w:drawing>
          <wp:anchor distT="0" distB="0" distL="114300" distR="114300" simplePos="0" relativeHeight="251661312" behindDoc="0" locked="0" layoutInCell="1" allowOverlap="1">
            <wp:simplePos x="0" y="0"/>
            <wp:positionH relativeFrom="column">
              <wp:posOffset>3810000</wp:posOffset>
            </wp:positionH>
            <wp:positionV relativeFrom="paragraph">
              <wp:posOffset>171450</wp:posOffset>
            </wp:positionV>
            <wp:extent cx="2286000" cy="1371600"/>
            <wp:effectExtent l="0" t="0" r="0" b="0"/>
            <wp:wrapSquare wrapText="bothSides"/>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161A1D" w:rsidRPr="00F74A03">
        <w:t>NON-FOOD INFLATION</w:t>
      </w:r>
      <w:bookmarkEnd w:id="8"/>
    </w:p>
    <w:p w:rsidR="00161A1D" w:rsidRPr="00A377E3" w:rsidRDefault="00161A1D" w:rsidP="00161A1D">
      <w:pPr>
        <w:spacing w:before="120" w:after="120" w:line="360" w:lineRule="atLeast"/>
        <w:jc w:val="both"/>
      </w:pPr>
      <w:r w:rsidRPr="00A377E3">
        <w:t xml:space="preserve">Inflation in non-food items exhibited upwards trend in the month of July 2020. On the year over year basis, non-food inflation increased to 0.31 percent from 0.13 percent observed in the previous month. This increase mainly comes </w:t>
      </w:r>
      <w:r w:rsidRPr="00A377E3">
        <w:lastRenderedPageBreak/>
        <w:t>from higher prices of housing, furnishing and households, communication, and education.</w:t>
      </w:r>
    </w:p>
    <w:p w:rsidR="00BA0EB4" w:rsidRDefault="00BA0EB4" w:rsidP="00903E4E">
      <w:pPr>
        <w:spacing w:before="120" w:after="120" w:line="360" w:lineRule="atLeast"/>
        <w:jc w:val="both"/>
        <w:rPr>
          <w:color w:val="548DD4"/>
        </w:rPr>
      </w:pPr>
    </w:p>
    <w:p w:rsidR="00AC306D" w:rsidRPr="006970E9" w:rsidRDefault="00AC306D" w:rsidP="006970E9">
      <w:pPr>
        <w:spacing w:before="120" w:after="120" w:line="360" w:lineRule="atLeast"/>
        <w:jc w:val="both"/>
        <w:rPr>
          <w:color w:val="548DD4"/>
        </w:rPr>
      </w:pPr>
    </w:p>
    <w:p w:rsidR="00392999" w:rsidRDefault="00392999" w:rsidP="00594443">
      <w:pPr>
        <w:spacing w:after="0" w:line="240" w:lineRule="auto"/>
        <w:rPr>
          <w:rFonts w:eastAsia="Times New Roman" w:cs="Times New Roman"/>
          <w:b/>
          <w:bCs/>
          <w:color w:val="1F497D"/>
        </w:rPr>
        <w:sectPr w:rsidR="00392999" w:rsidSect="00147A6F">
          <w:type w:val="continuous"/>
          <w:pgSz w:w="12240" w:h="15840"/>
          <w:pgMar w:top="1440" w:right="1440" w:bottom="1440" w:left="1440" w:header="720" w:footer="720" w:gutter="0"/>
          <w:cols w:num="2" w:space="432" w:equalWidth="0">
            <w:col w:w="5616" w:space="432"/>
            <w:col w:w="3312"/>
          </w:cols>
          <w:docGrid w:linePitch="360"/>
        </w:sectPr>
      </w:pPr>
    </w:p>
    <w:tbl>
      <w:tblPr>
        <w:tblpPr w:leftFromText="180" w:rightFromText="180" w:vertAnchor="text" w:horzAnchor="margin" w:tblpY="57"/>
        <w:tblW w:w="9868" w:type="dxa"/>
        <w:tblLook w:val="04A0"/>
      </w:tblPr>
      <w:tblGrid>
        <w:gridCol w:w="4643"/>
        <w:gridCol w:w="925"/>
        <w:gridCol w:w="1069"/>
        <w:gridCol w:w="1069"/>
        <w:gridCol w:w="1093"/>
        <w:gridCol w:w="1069"/>
      </w:tblGrid>
      <w:tr w:rsidR="00A47555" w:rsidRPr="00F74A03" w:rsidTr="00AE16D4">
        <w:trPr>
          <w:trHeight w:val="293"/>
        </w:trPr>
        <w:tc>
          <w:tcPr>
            <w:tcW w:w="9868" w:type="dxa"/>
            <w:gridSpan w:val="6"/>
            <w:tcBorders>
              <w:top w:val="nil"/>
              <w:left w:val="nil"/>
              <w:bottom w:val="nil"/>
              <w:right w:val="nil"/>
            </w:tcBorders>
            <w:shd w:val="clear" w:color="auto" w:fill="DBE5F1"/>
            <w:noWrap/>
            <w:vAlign w:val="center"/>
            <w:hideMark/>
          </w:tcPr>
          <w:p w:rsidR="00A47555" w:rsidRPr="005822FC" w:rsidRDefault="002815F5" w:rsidP="00A47555">
            <w:pPr>
              <w:spacing w:after="0" w:line="240" w:lineRule="auto"/>
              <w:rPr>
                <w:rFonts w:eastAsia="Times New Roman" w:cs="Times New Roman"/>
                <w:color w:val="000000"/>
              </w:rPr>
            </w:pPr>
            <w:r>
              <w:rPr>
                <w:rFonts w:eastAsia="Times New Roman" w:cs="Times New Roman"/>
                <w:b/>
                <w:bCs/>
                <w:color w:val="1F497D"/>
              </w:rPr>
              <w:t xml:space="preserve">Table </w:t>
            </w:r>
            <w:r w:rsidR="00A47555">
              <w:rPr>
                <w:rFonts w:eastAsia="Times New Roman" w:cs="Times New Roman"/>
                <w:b/>
                <w:bCs/>
                <w:color w:val="1F497D"/>
              </w:rPr>
              <w:t xml:space="preserve">3. Non-Food Inflation </w:t>
            </w:r>
            <w:r w:rsidR="00A47555" w:rsidRPr="000B61DB">
              <w:rPr>
                <w:rFonts w:eastAsia="Times New Roman" w:cs="Times New Roman"/>
                <w:b/>
                <w:bCs/>
                <w:color w:val="1F497D"/>
              </w:rPr>
              <w:t>(</w:t>
            </w:r>
            <w:r w:rsidR="00A47555">
              <w:rPr>
                <w:rFonts w:eastAsia="Times New Roman" w:cs="Times New Roman"/>
                <w:b/>
                <w:bCs/>
                <w:color w:val="1F497D"/>
              </w:rPr>
              <w:t>June20-July  20)</w:t>
            </w:r>
          </w:p>
        </w:tc>
      </w:tr>
      <w:tr w:rsidR="00A47555" w:rsidRPr="00F74A03" w:rsidTr="00AE16D4">
        <w:trPr>
          <w:trHeight w:val="341"/>
        </w:trPr>
        <w:tc>
          <w:tcPr>
            <w:tcW w:w="4643" w:type="dxa"/>
            <w:vMerge w:val="restart"/>
            <w:tcBorders>
              <w:top w:val="nil"/>
              <w:left w:val="nil"/>
              <w:bottom w:val="single" w:sz="4" w:space="0" w:color="000000"/>
              <w:right w:val="nil"/>
            </w:tcBorders>
            <w:shd w:val="clear" w:color="auto" w:fill="8DB3E2"/>
            <w:noWrap/>
            <w:vAlign w:val="bottom"/>
            <w:hideMark/>
          </w:tcPr>
          <w:p w:rsidR="00A47555" w:rsidRPr="005822FC" w:rsidRDefault="00A47555" w:rsidP="00A47555">
            <w:pPr>
              <w:spacing w:after="0" w:line="240" w:lineRule="auto"/>
              <w:jc w:val="center"/>
              <w:rPr>
                <w:rFonts w:ascii="Arial" w:eastAsia="Times New Roman" w:hAnsi="Arial"/>
                <w:b/>
                <w:bCs/>
                <w:color w:val="000000"/>
                <w:sz w:val="16"/>
                <w:szCs w:val="16"/>
              </w:rPr>
            </w:pPr>
            <w:r w:rsidRPr="005822FC">
              <w:rPr>
                <w:rFonts w:ascii="Arial" w:eastAsia="Times New Roman" w:hAnsi="Arial"/>
                <w:b/>
                <w:bCs/>
                <w:color w:val="000000"/>
                <w:sz w:val="16"/>
                <w:szCs w:val="16"/>
              </w:rPr>
              <w:t> </w:t>
            </w:r>
          </w:p>
        </w:tc>
        <w:tc>
          <w:tcPr>
            <w:tcW w:w="925" w:type="dxa"/>
            <w:vMerge w:val="restart"/>
            <w:tcBorders>
              <w:top w:val="nil"/>
              <w:left w:val="nil"/>
              <w:bottom w:val="single" w:sz="4" w:space="0" w:color="000000"/>
              <w:right w:val="nil"/>
            </w:tcBorders>
            <w:shd w:val="clear" w:color="auto" w:fill="8DB3E2"/>
            <w:noWrap/>
            <w:vAlign w:val="center"/>
            <w:hideMark/>
          </w:tcPr>
          <w:p w:rsidR="00A47555" w:rsidRPr="00B6688F" w:rsidRDefault="00A47555" w:rsidP="00A47555">
            <w:pPr>
              <w:spacing w:after="0" w:line="240" w:lineRule="auto"/>
              <w:jc w:val="center"/>
              <w:rPr>
                <w:rFonts w:eastAsia="Times New Roman" w:cs="Times New Roman"/>
                <w:b/>
                <w:bCs/>
                <w:sz w:val="20"/>
                <w:szCs w:val="20"/>
              </w:rPr>
            </w:pPr>
            <w:r w:rsidRPr="00B6688F">
              <w:rPr>
                <w:rFonts w:eastAsia="Times New Roman" w:cs="Times New Roman"/>
                <w:b/>
                <w:bCs/>
                <w:sz w:val="20"/>
                <w:szCs w:val="20"/>
              </w:rPr>
              <w:t>Weight</w:t>
            </w:r>
          </w:p>
        </w:tc>
        <w:tc>
          <w:tcPr>
            <w:tcW w:w="2138" w:type="dxa"/>
            <w:gridSpan w:val="2"/>
            <w:tcBorders>
              <w:top w:val="nil"/>
              <w:left w:val="nil"/>
              <w:bottom w:val="nil"/>
              <w:right w:val="nil"/>
            </w:tcBorders>
            <w:shd w:val="clear" w:color="auto" w:fill="8DB3E2"/>
            <w:noWrap/>
            <w:vAlign w:val="center"/>
            <w:hideMark/>
          </w:tcPr>
          <w:p w:rsidR="00A47555" w:rsidRPr="00B6688F" w:rsidRDefault="00A47555" w:rsidP="00A47555">
            <w:pPr>
              <w:spacing w:after="0" w:line="240" w:lineRule="auto"/>
              <w:jc w:val="center"/>
              <w:rPr>
                <w:rFonts w:eastAsia="Times New Roman" w:cs="Times New Roman"/>
                <w:b/>
                <w:bCs/>
                <w:sz w:val="20"/>
                <w:szCs w:val="20"/>
              </w:rPr>
            </w:pPr>
            <w:r w:rsidRPr="00B6688F">
              <w:rPr>
                <w:rFonts w:eastAsia="Times New Roman" w:cs="Times New Roman"/>
                <w:b/>
                <w:bCs/>
                <w:sz w:val="20"/>
                <w:szCs w:val="20"/>
              </w:rPr>
              <w:t>Y-on-Y</w:t>
            </w:r>
          </w:p>
        </w:tc>
        <w:tc>
          <w:tcPr>
            <w:tcW w:w="2162" w:type="dxa"/>
            <w:gridSpan w:val="2"/>
            <w:tcBorders>
              <w:top w:val="nil"/>
              <w:left w:val="nil"/>
              <w:bottom w:val="nil"/>
              <w:right w:val="nil"/>
            </w:tcBorders>
            <w:shd w:val="clear" w:color="auto" w:fill="8DB3E2"/>
            <w:noWrap/>
            <w:vAlign w:val="center"/>
            <w:hideMark/>
          </w:tcPr>
          <w:p w:rsidR="00A47555" w:rsidRPr="00B6688F" w:rsidRDefault="00A47555" w:rsidP="00A47555">
            <w:pPr>
              <w:spacing w:after="0" w:line="240" w:lineRule="auto"/>
              <w:jc w:val="center"/>
              <w:rPr>
                <w:rFonts w:eastAsia="Times New Roman" w:cs="Times New Roman"/>
                <w:b/>
                <w:bCs/>
                <w:sz w:val="20"/>
                <w:szCs w:val="20"/>
              </w:rPr>
            </w:pPr>
            <w:r w:rsidRPr="00B6688F">
              <w:rPr>
                <w:rFonts w:eastAsia="Times New Roman" w:cs="Times New Roman"/>
                <w:b/>
                <w:bCs/>
                <w:sz w:val="20"/>
                <w:szCs w:val="20"/>
              </w:rPr>
              <w:t>M-to-M</w:t>
            </w:r>
          </w:p>
        </w:tc>
      </w:tr>
      <w:tr w:rsidR="00A47555" w:rsidRPr="00F74A03" w:rsidTr="00AE16D4">
        <w:trPr>
          <w:trHeight w:val="168"/>
        </w:trPr>
        <w:tc>
          <w:tcPr>
            <w:tcW w:w="4643" w:type="dxa"/>
            <w:vMerge/>
            <w:tcBorders>
              <w:top w:val="nil"/>
              <w:left w:val="nil"/>
              <w:bottom w:val="single" w:sz="4" w:space="0" w:color="000000"/>
              <w:right w:val="nil"/>
            </w:tcBorders>
            <w:shd w:val="clear" w:color="auto" w:fill="8DB3E2"/>
            <w:vAlign w:val="center"/>
            <w:hideMark/>
          </w:tcPr>
          <w:p w:rsidR="00A47555" w:rsidRPr="005822FC" w:rsidRDefault="00A47555" w:rsidP="00A47555">
            <w:pPr>
              <w:spacing w:after="0" w:line="240" w:lineRule="auto"/>
              <w:rPr>
                <w:rFonts w:ascii="Arial" w:eastAsia="Times New Roman" w:hAnsi="Arial"/>
                <w:b/>
                <w:bCs/>
                <w:color w:val="000000"/>
                <w:sz w:val="16"/>
                <w:szCs w:val="16"/>
              </w:rPr>
            </w:pPr>
          </w:p>
        </w:tc>
        <w:tc>
          <w:tcPr>
            <w:tcW w:w="925" w:type="dxa"/>
            <w:vMerge/>
            <w:tcBorders>
              <w:top w:val="nil"/>
              <w:left w:val="nil"/>
              <w:bottom w:val="single" w:sz="4" w:space="0" w:color="000000"/>
              <w:right w:val="nil"/>
            </w:tcBorders>
            <w:shd w:val="clear" w:color="auto" w:fill="8DB3E2"/>
            <w:vAlign w:val="center"/>
            <w:hideMark/>
          </w:tcPr>
          <w:p w:rsidR="00A47555" w:rsidRPr="00B6688F" w:rsidRDefault="00A47555" w:rsidP="00A47555">
            <w:pPr>
              <w:spacing w:after="0" w:line="240" w:lineRule="auto"/>
              <w:rPr>
                <w:rFonts w:eastAsia="Times New Roman" w:cs="Times New Roman"/>
                <w:b/>
                <w:bCs/>
                <w:sz w:val="20"/>
                <w:szCs w:val="20"/>
              </w:rPr>
            </w:pPr>
          </w:p>
        </w:tc>
        <w:tc>
          <w:tcPr>
            <w:tcW w:w="1069" w:type="dxa"/>
            <w:tcBorders>
              <w:top w:val="nil"/>
              <w:left w:val="nil"/>
              <w:bottom w:val="single" w:sz="4" w:space="0" w:color="auto"/>
              <w:right w:val="nil"/>
            </w:tcBorders>
            <w:shd w:val="clear" w:color="auto" w:fill="8DB3E2"/>
            <w:noWrap/>
            <w:vAlign w:val="center"/>
            <w:hideMark/>
          </w:tcPr>
          <w:p w:rsidR="00A47555" w:rsidRPr="00B6688F" w:rsidRDefault="00A47555" w:rsidP="00A47555">
            <w:pPr>
              <w:spacing w:after="0" w:line="240" w:lineRule="auto"/>
              <w:jc w:val="center"/>
              <w:rPr>
                <w:rFonts w:eastAsia="Times New Roman" w:cs="Times New Roman"/>
                <w:b/>
                <w:bCs/>
                <w:sz w:val="20"/>
                <w:szCs w:val="20"/>
              </w:rPr>
            </w:pPr>
            <w:r>
              <w:rPr>
                <w:rFonts w:eastAsia="Times New Roman" w:cs="Times New Roman"/>
                <w:b/>
                <w:bCs/>
                <w:sz w:val="20"/>
                <w:szCs w:val="20"/>
              </w:rPr>
              <w:t xml:space="preserve">June </w:t>
            </w:r>
          </w:p>
        </w:tc>
        <w:tc>
          <w:tcPr>
            <w:tcW w:w="1069" w:type="dxa"/>
            <w:tcBorders>
              <w:top w:val="nil"/>
              <w:left w:val="nil"/>
              <w:bottom w:val="single" w:sz="4" w:space="0" w:color="auto"/>
              <w:right w:val="nil"/>
            </w:tcBorders>
            <w:shd w:val="clear" w:color="auto" w:fill="8DB3E2"/>
            <w:noWrap/>
            <w:vAlign w:val="center"/>
            <w:hideMark/>
          </w:tcPr>
          <w:p w:rsidR="00A47555" w:rsidRPr="00B6688F" w:rsidRDefault="00A47555" w:rsidP="00A47555">
            <w:pPr>
              <w:spacing w:after="0" w:line="240" w:lineRule="auto"/>
              <w:jc w:val="center"/>
              <w:rPr>
                <w:rFonts w:eastAsia="Times New Roman" w:cs="Times New Roman"/>
                <w:b/>
                <w:bCs/>
                <w:sz w:val="20"/>
                <w:szCs w:val="20"/>
              </w:rPr>
            </w:pPr>
            <w:r>
              <w:rPr>
                <w:rFonts w:eastAsia="Times New Roman" w:cs="Times New Roman"/>
                <w:b/>
                <w:bCs/>
                <w:sz w:val="20"/>
                <w:szCs w:val="20"/>
              </w:rPr>
              <w:t>July</w:t>
            </w:r>
          </w:p>
        </w:tc>
        <w:tc>
          <w:tcPr>
            <w:tcW w:w="1093" w:type="dxa"/>
            <w:tcBorders>
              <w:top w:val="nil"/>
              <w:left w:val="nil"/>
              <w:bottom w:val="single" w:sz="4" w:space="0" w:color="auto"/>
              <w:right w:val="nil"/>
            </w:tcBorders>
            <w:shd w:val="clear" w:color="auto" w:fill="8DB3E2"/>
            <w:noWrap/>
            <w:vAlign w:val="center"/>
            <w:hideMark/>
          </w:tcPr>
          <w:p w:rsidR="00A47555" w:rsidRPr="00B6688F" w:rsidRDefault="00A47555" w:rsidP="00A47555">
            <w:pPr>
              <w:spacing w:after="0" w:line="240" w:lineRule="auto"/>
              <w:jc w:val="center"/>
              <w:rPr>
                <w:rFonts w:eastAsia="Times New Roman" w:cs="Times New Roman"/>
                <w:b/>
                <w:bCs/>
                <w:sz w:val="20"/>
                <w:szCs w:val="20"/>
              </w:rPr>
            </w:pPr>
            <w:r>
              <w:rPr>
                <w:rFonts w:eastAsia="Times New Roman" w:cs="Times New Roman"/>
                <w:b/>
                <w:bCs/>
                <w:sz w:val="20"/>
                <w:szCs w:val="20"/>
              </w:rPr>
              <w:t xml:space="preserve">June </w:t>
            </w:r>
          </w:p>
        </w:tc>
        <w:tc>
          <w:tcPr>
            <w:tcW w:w="1069" w:type="dxa"/>
            <w:tcBorders>
              <w:top w:val="nil"/>
              <w:left w:val="nil"/>
              <w:bottom w:val="single" w:sz="4" w:space="0" w:color="auto"/>
              <w:right w:val="nil"/>
            </w:tcBorders>
            <w:shd w:val="clear" w:color="auto" w:fill="8DB3E2"/>
            <w:noWrap/>
            <w:vAlign w:val="center"/>
            <w:hideMark/>
          </w:tcPr>
          <w:p w:rsidR="00A47555" w:rsidRPr="00B6688F" w:rsidRDefault="00A47555" w:rsidP="00A47555">
            <w:pPr>
              <w:spacing w:after="0" w:line="240" w:lineRule="auto"/>
              <w:jc w:val="center"/>
              <w:rPr>
                <w:rFonts w:eastAsia="Times New Roman" w:cs="Times New Roman"/>
                <w:b/>
                <w:bCs/>
                <w:sz w:val="20"/>
                <w:szCs w:val="20"/>
              </w:rPr>
            </w:pPr>
            <w:r>
              <w:rPr>
                <w:rFonts w:eastAsia="Times New Roman" w:cs="Times New Roman"/>
                <w:b/>
                <w:bCs/>
                <w:sz w:val="20"/>
                <w:szCs w:val="20"/>
              </w:rPr>
              <w:t>July</w:t>
            </w:r>
          </w:p>
        </w:tc>
      </w:tr>
      <w:tr w:rsidR="00A47555" w:rsidRPr="00F74A03" w:rsidTr="00AE16D4">
        <w:trPr>
          <w:trHeight w:val="278"/>
        </w:trPr>
        <w:tc>
          <w:tcPr>
            <w:tcW w:w="4643" w:type="dxa"/>
            <w:tcBorders>
              <w:top w:val="single" w:sz="4" w:space="0" w:color="auto"/>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color w:val="000000"/>
              </w:rPr>
            </w:pPr>
            <w:r w:rsidRPr="005822FC">
              <w:rPr>
                <w:rFonts w:eastAsia="Times New Roman" w:cs="Times New Roman"/>
                <w:b/>
                <w:bCs/>
                <w:color w:val="000000"/>
              </w:rPr>
              <w:t>Non-Food</w:t>
            </w:r>
          </w:p>
        </w:tc>
        <w:tc>
          <w:tcPr>
            <w:tcW w:w="925" w:type="dxa"/>
            <w:tcBorders>
              <w:top w:val="single" w:sz="4" w:space="0" w:color="auto"/>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52.2</w:t>
            </w:r>
          </w:p>
        </w:tc>
        <w:tc>
          <w:tcPr>
            <w:tcW w:w="1069" w:type="dxa"/>
            <w:tcBorders>
              <w:top w:val="single" w:sz="4" w:space="0" w:color="auto"/>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0.13</w:t>
            </w:r>
          </w:p>
        </w:tc>
        <w:tc>
          <w:tcPr>
            <w:tcW w:w="1069" w:type="dxa"/>
            <w:tcBorders>
              <w:top w:val="single" w:sz="4" w:space="0" w:color="auto"/>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0.31</w:t>
            </w:r>
          </w:p>
        </w:tc>
        <w:tc>
          <w:tcPr>
            <w:tcW w:w="1093" w:type="dxa"/>
            <w:tcBorders>
              <w:top w:val="single" w:sz="4" w:space="0" w:color="auto"/>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0.35</w:t>
            </w:r>
          </w:p>
        </w:tc>
        <w:tc>
          <w:tcPr>
            <w:tcW w:w="1069" w:type="dxa"/>
            <w:tcBorders>
              <w:top w:val="single" w:sz="4" w:space="0" w:color="auto"/>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-0.39</w:t>
            </w:r>
          </w:p>
        </w:tc>
      </w:tr>
      <w:tr w:rsidR="00A47555" w:rsidRPr="00F74A03" w:rsidTr="00AE16D4">
        <w:trPr>
          <w:trHeight w:val="278"/>
        </w:trPr>
        <w:tc>
          <w:tcPr>
            <w:tcW w:w="4643" w:type="dxa"/>
            <w:tcBorders>
              <w:top w:val="nil"/>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Tobacco</w:t>
            </w:r>
          </w:p>
        </w:tc>
        <w:tc>
          <w:tcPr>
            <w:tcW w:w="925"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0.3</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1.40</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2.73</w:t>
            </w:r>
          </w:p>
        </w:tc>
        <w:tc>
          <w:tcPr>
            <w:tcW w:w="1093"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0.29</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0.05</w:t>
            </w:r>
          </w:p>
        </w:tc>
      </w:tr>
      <w:tr w:rsidR="00A47555" w:rsidRPr="00F74A03" w:rsidTr="00AE16D4">
        <w:trPr>
          <w:trHeight w:val="278"/>
        </w:trPr>
        <w:tc>
          <w:tcPr>
            <w:tcW w:w="4643" w:type="dxa"/>
            <w:tcBorders>
              <w:top w:val="nil"/>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Clothing </w:t>
            </w:r>
          </w:p>
        </w:tc>
        <w:tc>
          <w:tcPr>
            <w:tcW w:w="925"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4.6</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7.54</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6.77</w:t>
            </w:r>
          </w:p>
        </w:tc>
        <w:tc>
          <w:tcPr>
            <w:tcW w:w="1093"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-1.59</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-0.78</w:t>
            </w:r>
          </w:p>
        </w:tc>
      </w:tr>
      <w:tr w:rsidR="00A47555" w:rsidRPr="00F74A03" w:rsidTr="00AE16D4">
        <w:trPr>
          <w:trHeight w:val="278"/>
        </w:trPr>
        <w:tc>
          <w:tcPr>
            <w:tcW w:w="4643" w:type="dxa"/>
            <w:tcBorders>
              <w:top w:val="nil"/>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Housing,  </w:t>
            </w:r>
          </w:p>
        </w:tc>
        <w:tc>
          <w:tcPr>
            <w:tcW w:w="925"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19.1</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-4.02</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-2.77</w:t>
            </w:r>
          </w:p>
        </w:tc>
        <w:tc>
          <w:tcPr>
            <w:tcW w:w="1093"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0.16</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0.14</w:t>
            </w:r>
          </w:p>
        </w:tc>
      </w:tr>
      <w:tr w:rsidR="00A47555" w:rsidRPr="00F74A03" w:rsidTr="00AE16D4">
        <w:trPr>
          <w:trHeight w:val="278"/>
        </w:trPr>
        <w:tc>
          <w:tcPr>
            <w:tcW w:w="4643" w:type="dxa"/>
            <w:tcBorders>
              <w:top w:val="nil"/>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Furnishing and household goods</w:t>
            </w:r>
          </w:p>
        </w:tc>
        <w:tc>
          <w:tcPr>
            <w:tcW w:w="925"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11.9</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0.78</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1.89</w:t>
            </w:r>
          </w:p>
        </w:tc>
        <w:tc>
          <w:tcPr>
            <w:tcW w:w="1093"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-0.60</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0.43</w:t>
            </w:r>
          </w:p>
        </w:tc>
      </w:tr>
      <w:tr w:rsidR="00A47555" w:rsidRPr="00F74A03" w:rsidTr="00AE16D4">
        <w:trPr>
          <w:trHeight w:val="278"/>
        </w:trPr>
        <w:tc>
          <w:tcPr>
            <w:tcW w:w="4643" w:type="dxa"/>
            <w:tcBorders>
              <w:top w:val="nil"/>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Health </w:t>
            </w:r>
          </w:p>
        </w:tc>
        <w:tc>
          <w:tcPr>
            <w:tcW w:w="925"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6.2</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8.86</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8.72</w:t>
            </w:r>
          </w:p>
        </w:tc>
        <w:tc>
          <w:tcPr>
            <w:tcW w:w="1093"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4.60</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0.19</w:t>
            </w:r>
          </w:p>
        </w:tc>
      </w:tr>
      <w:tr w:rsidR="00A47555" w:rsidRPr="00F74A03" w:rsidTr="00AE16D4">
        <w:trPr>
          <w:trHeight w:val="278"/>
        </w:trPr>
        <w:tc>
          <w:tcPr>
            <w:tcW w:w="4643" w:type="dxa"/>
            <w:tcBorders>
              <w:top w:val="nil"/>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Transportation</w:t>
            </w:r>
          </w:p>
        </w:tc>
        <w:tc>
          <w:tcPr>
            <w:tcW w:w="925"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4.3</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-10.44</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-14.76</w:t>
            </w:r>
          </w:p>
        </w:tc>
        <w:tc>
          <w:tcPr>
            <w:tcW w:w="1093"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-0.12</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-5.10</w:t>
            </w:r>
          </w:p>
        </w:tc>
      </w:tr>
      <w:tr w:rsidR="00A47555" w:rsidRPr="00F74A03" w:rsidTr="00AE16D4">
        <w:trPr>
          <w:trHeight w:val="278"/>
        </w:trPr>
        <w:tc>
          <w:tcPr>
            <w:tcW w:w="4643" w:type="dxa"/>
            <w:tcBorders>
              <w:top w:val="nil"/>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Communication</w:t>
            </w:r>
          </w:p>
        </w:tc>
        <w:tc>
          <w:tcPr>
            <w:tcW w:w="925"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1.7</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-2.40</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-2.06</w:t>
            </w:r>
          </w:p>
        </w:tc>
        <w:tc>
          <w:tcPr>
            <w:tcW w:w="1093"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-0.20</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-0.07</w:t>
            </w:r>
          </w:p>
        </w:tc>
      </w:tr>
      <w:tr w:rsidR="00A47555" w:rsidRPr="00F74A03" w:rsidTr="00AE16D4">
        <w:trPr>
          <w:trHeight w:val="278"/>
        </w:trPr>
        <w:tc>
          <w:tcPr>
            <w:tcW w:w="4643" w:type="dxa"/>
            <w:tcBorders>
              <w:top w:val="nil"/>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Information  and Culture</w:t>
            </w:r>
          </w:p>
        </w:tc>
        <w:tc>
          <w:tcPr>
            <w:tcW w:w="925"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1.1</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3.15</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0.68</w:t>
            </w:r>
          </w:p>
        </w:tc>
        <w:tc>
          <w:tcPr>
            <w:tcW w:w="1093"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0.70</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-1.85</w:t>
            </w:r>
          </w:p>
        </w:tc>
      </w:tr>
      <w:tr w:rsidR="00A47555" w:rsidRPr="00F74A03" w:rsidTr="00AE16D4">
        <w:trPr>
          <w:trHeight w:val="278"/>
        </w:trPr>
        <w:tc>
          <w:tcPr>
            <w:tcW w:w="4643" w:type="dxa"/>
            <w:tcBorders>
              <w:top w:val="nil"/>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Education</w:t>
            </w:r>
          </w:p>
        </w:tc>
        <w:tc>
          <w:tcPr>
            <w:tcW w:w="925"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0.4</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0.83</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1.16</w:t>
            </w:r>
          </w:p>
        </w:tc>
        <w:tc>
          <w:tcPr>
            <w:tcW w:w="1093"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0.07</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0.01</w:t>
            </w:r>
          </w:p>
        </w:tc>
      </w:tr>
      <w:tr w:rsidR="00A47555" w:rsidRPr="00F74A03" w:rsidTr="00A47555">
        <w:trPr>
          <w:trHeight w:val="468"/>
        </w:trPr>
        <w:tc>
          <w:tcPr>
            <w:tcW w:w="4643" w:type="dxa"/>
            <w:tcBorders>
              <w:top w:val="nil"/>
              <w:left w:val="nil"/>
              <w:bottom w:val="nil"/>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Restaurants and Hotels</w:t>
            </w:r>
          </w:p>
        </w:tc>
        <w:tc>
          <w:tcPr>
            <w:tcW w:w="925"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1.1</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0.97</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-1.20</w:t>
            </w:r>
          </w:p>
        </w:tc>
        <w:tc>
          <w:tcPr>
            <w:tcW w:w="1093"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0.09</w:t>
            </w:r>
          </w:p>
        </w:tc>
        <w:tc>
          <w:tcPr>
            <w:tcW w:w="1069" w:type="dxa"/>
            <w:tcBorders>
              <w:top w:val="nil"/>
              <w:left w:val="nil"/>
              <w:bottom w:val="nil"/>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-1.89</w:t>
            </w:r>
          </w:p>
        </w:tc>
      </w:tr>
      <w:tr w:rsidR="00A47555" w:rsidRPr="00F74A03" w:rsidTr="00AE16D4">
        <w:trPr>
          <w:trHeight w:val="89"/>
        </w:trPr>
        <w:tc>
          <w:tcPr>
            <w:tcW w:w="4643" w:type="dxa"/>
            <w:tcBorders>
              <w:top w:val="nil"/>
              <w:left w:val="nil"/>
              <w:bottom w:val="single" w:sz="4" w:space="0" w:color="auto"/>
              <w:right w:val="nil"/>
            </w:tcBorders>
            <w:shd w:val="clear" w:color="000000" w:fill="FFFFFF"/>
            <w:noWrap/>
            <w:vAlign w:val="bottom"/>
            <w:hideMark/>
          </w:tcPr>
          <w:p w:rsidR="00A47555" w:rsidRPr="005822FC" w:rsidRDefault="00A47555" w:rsidP="00A47555">
            <w:pPr>
              <w:spacing w:after="0" w:line="240" w:lineRule="auto"/>
              <w:rPr>
                <w:rFonts w:eastAsia="Times New Roman" w:cs="Times New Roman"/>
                <w:i/>
                <w:iCs/>
                <w:color w:val="000000"/>
                <w:sz w:val="20"/>
                <w:szCs w:val="20"/>
              </w:rPr>
            </w:pPr>
            <w:r w:rsidRPr="005822FC">
              <w:rPr>
                <w:rFonts w:eastAsia="Times New Roman" w:cs="Times New Roman"/>
                <w:i/>
                <w:iCs/>
                <w:color w:val="000000"/>
                <w:sz w:val="20"/>
                <w:szCs w:val="20"/>
              </w:rPr>
              <w:t xml:space="preserve">   Miscellaneous</w:t>
            </w:r>
          </w:p>
        </w:tc>
        <w:tc>
          <w:tcPr>
            <w:tcW w:w="925" w:type="dxa"/>
            <w:tcBorders>
              <w:top w:val="nil"/>
              <w:left w:val="nil"/>
              <w:bottom w:val="single" w:sz="4" w:space="0" w:color="auto"/>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b/>
                <w:bCs/>
                <w:sz w:val="18"/>
                <w:szCs w:val="18"/>
              </w:rPr>
            </w:pPr>
            <w:r w:rsidRPr="00B6688F">
              <w:rPr>
                <w:rFonts w:eastAsia="Times New Roman" w:cs="Times New Roman"/>
                <w:b/>
                <w:bCs/>
                <w:sz w:val="18"/>
                <w:szCs w:val="18"/>
              </w:rPr>
              <w:t>1.4</w:t>
            </w:r>
          </w:p>
        </w:tc>
        <w:tc>
          <w:tcPr>
            <w:tcW w:w="1069" w:type="dxa"/>
            <w:tcBorders>
              <w:top w:val="nil"/>
              <w:left w:val="nil"/>
              <w:bottom w:val="single" w:sz="4" w:space="0" w:color="auto"/>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14.17</w:t>
            </w:r>
          </w:p>
        </w:tc>
        <w:tc>
          <w:tcPr>
            <w:tcW w:w="1069" w:type="dxa"/>
            <w:tcBorders>
              <w:top w:val="nil"/>
              <w:left w:val="nil"/>
              <w:bottom w:val="single" w:sz="4" w:space="0" w:color="auto"/>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13.37</w:t>
            </w:r>
          </w:p>
        </w:tc>
        <w:tc>
          <w:tcPr>
            <w:tcW w:w="1093" w:type="dxa"/>
            <w:tcBorders>
              <w:top w:val="nil"/>
              <w:left w:val="nil"/>
              <w:bottom w:val="single" w:sz="4" w:space="0" w:color="auto"/>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1.14</w:t>
            </w:r>
          </w:p>
        </w:tc>
        <w:tc>
          <w:tcPr>
            <w:tcW w:w="1069" w:type="dxa"/>
            <w:tcBorders>
              <w:top w:val="nil"/>
              <w:left w:val="nil"/>
              <w:bottom w:val="single" w:sz="4" w:space="0" w:color="auto"/>
              <w:right w:val="nil"/>
            </w:tcBorders>
            <w:shd w:val="clear" w:color="000000" w:fill="FFFFFF"/>
            <w:noWrap/>
            <w:vAlign w:val="center"/>
            <w:hideMark/>
          </w:tcPr>
          <w:p w:rsidR="00A47555" w:rsidRPr="00B6688F" w:rsidRDefault="00A47555" w:rsidP="00A47555">
            <w:pPr>
              <w:spacing w:after="0" w:line="240" w:lineRule="auto"/>
              <w:jc w:val="center"/>
              <w:rPr>
                <w:rFonts w:eastAsia="Times New Roman" w:cs="Times New Roman"/>
                <w:sz w:val="18"/>
                <w:szCs w:val="18"/>
              </w:rPr>
            </w:pPr>
            <w:r>
              <w:rPr>
                <w:rFonts w:eastAsia="Times New Roman" w:cs="Times New Roman"/>
                <w:sz w:val="18"/>
                <w:szCs w:val="18"/>
              </w:rPr>
              <w:t>0.33</w:t>
            </w:r>
          </w:p>
        </w:tc>
      </w:tr>
      <w:tr w:rsidR="00A47555" w:rsidRPr="00F74A03" w:rsidTr="00AE16D4">
        <w:trPr>
          <w:trHeight w:val="278"/>
        </w:trPr>
        <w:tc>
          <w:tcPr>
            <w:tcW w:w="4643" w:type="dxa"/>
            <w:tcBorders>
              <w:top w:val="nil"/>
              <w:left w:val="nil"/>
              <w:bottom w:val="nil"/>
              <w:right w:val="nil"/>
            </w:tcBorders>
            <w:shd w:val="clear" w:color="auto" w:fill="auto"/>
            <w:noWrap/>
            <w:vAlign w:val="bottom"/>
            <w:hideMark/>
          </w:tcPr>
          <w:p w:rsidR="002815F5" w:rsidRPr="002815F5" w:rsidRDefault="002815F5" w:rsidP="002815F5">
            <w:pPr>
              <w:spacing w:after="0" w:line="240" w:lineRule="auto"/>
              <w:rPr>
                <w:rFonts w:eastAsia="Times New Roman" w:cs="Times New Roman"/>
                <w:color w:val="000000"/>
                <w:sz w:val="16"/>
                <w:szCs w:val="16"/>
              </w:rPr>
            </w:pPr>
            <w:r w:rsidRPr="002815F5">
              <w:rPr>
                <w:rFonts w:eastAsia="Times New Roman" w:cs="Times New Roman"/>
                <w:color w:val="000000"/>
                <w:sz w:val="16"/>
                <w:szCs w:val="16"/>
              </w:rPr>
              <w:t xml:space="preserve">Source: National Statistics and Information Authority (NSIA) / DAB </w:t>
            </w:r>
          </w:p>
          <w:p w:rsidR="00A47555" w:rsidRPr="005822FC" w:rsidRDefault="00A47555" w:rsidP="00A47555">
            <w:pPr>
              <w:spacing w:after="0" w:line="240" w:lineRule="auto"/>
              <w:rPr>
                <w:rFonts w:eastAsia="Times New Roman" w:cs="Times New Roman"/>
                <w:color w:val="000000"/>
              </w:rPr>
            </w:pPr>
          </w:p>
        </w:tc>
        <w:tc>
          <w:tcPr>
            <w:tcW w:w="925" w:type="dxa"/>
            <w:tcBorders>
              <w:top w:val="nil"/>
              <w:left w:val="nil"/>
              <w:bottom w:val="nil"/>
              <w:right w:val="nil"/>
            </w:tcBorders>
            <w:shd w:val="clear" w:color="auto" w:fill="auto"/>
            <w:noWrap/>
            <w:vAlign w:val="bottom"/>
            <w:hideMark/>
          </w:tcPr>
          <w:p w:rsidR="00A47555" w:rsidRPr="005822FC" w:rsidRDefault="00A47555" w:rsidP="00A47555">
            <w:pPr>
              <w:spacing w:after="0" w:line="240" w:lineRule="auto"/>
              <w:rPr>
                <w:rFonts w:eastAsia="Times New Roman" w:cs="Times New Roman"/>
                <w:color w:val="000000"/>
              </w:rPr>
            </w:pPr>
          </w:p>
        </w:tc>
        <w:tc>
          <w:tcPr>
            <w:tcW w:w="1069" w:type="dxa"/>
            <w:tcBorders>
              <w:top w:val="nil"/>
              <w:left w:val="nil"/>
              <w:bottom w:val="nil"/>
              <w:right w:val="nil"/>
            </w:tcBorders>
            <w:shd w:val="clear" w:color="auto" w:fill="auto"/>
            <w:noWrap/>
            <w:vAlign w:val="bottom"/>
            <w:hideMark/>
          </w:tcPr>
          <w:p w:rsidR="00A47555" w:rsidRPr="005822FC" w:rsidRDefault="00A47555" w:rsidP="00A47555">
            <w:pPr>
              <w:spacing w:after="0" w:line="240" w:lineRule="auto"/>
              <w:rPr>
                <w:rFonts w:eastAsia="Times New Roman" w:cs="Times New Roman"/>
                <w:color w:val="000000"/>
              </w:rPr>
            </w:pPr>
          </w:p>
        </w:tc>
        <w:tc>
          <w:tcPr>
            <w:tcW w:w="1069" w:type="dxa"/>
            <w:tcBorders>
              <w:top w:val="nil"/>
              <w:left w:val="nil"/>
              <w:bottom w:val="nil"/>
              <w:right w:val="nil"/>
            </w:tcBorders>
            <w:shd w:val="clear" w:color="auto" w:fill="auto"/>
            <w:noWrap/>
            <w:vAlign w:val="bottom"/>
            <w:hideMark/>
          </w:tcPr>
          <w:p w:rsidR="00A47555" w:rsidRPr="005822FC" w:rsidRDefault="00A47555" w:rsidP="00A47555">
            <w:pPr>
              <w:spacing w:after="0" w:line="240" w:lineRule="auto"/>
              <w:rPr>
                <w:rFonts w:eastAsia="Times New Roman" w:cs="Times New Roman"/>
                <w:color w:val="000000"/>
              </w:rPr>
            </w:pPr>
          </w:p>
        </w:tc>
        <w:tc>
          <w:tcPr>
            <w:tcW w:w="1093" w:type="dxa"/>
            <w:tcBorders>
              <w:top w:val="nil"/>
              <w:left w:val="nil"/>
              <w:bottom w:val="nil"/>
              <w:right w:val="nil"/>
            </w:tcBorders>
            <w:shd w:val="clear" w:color="auto" w:fill="auto"/>
            <w:noWrap/>
            <w:vAlign w:val="bottom"/>
            <w:hideMark/>
          </w:tcPr>
          <w:p w:rsidR="00A47555" w:rsidRPr="005822FC" w:rsidRDefault="00A47555" w:rsidP="00A47555">
            <w:pPr>
              <w:spacing w:after="0" w:line="240" w:lineRule="auto"/>
              <w:rPr>
                <w:rFonts w:eastAsia="Times New Roman" w:cs="Times New Roman"/>
                <w:color w:val="000000"/>
              </w:rPr>
            </w:pPr>
          </w:p>
        </w:tc>
        <w:tc>
          <w:tcPr>
            <w:tcW w:w="1069" w:type="dxa"/>
            <w:tcBorders>
              <w:top w:val="nil"/>
              <w:left w:val="nil"/>
              <w:bottom w:val="nil"/>
              <w:right w:val="nil"/>
            </w:tcBorders>
            <w:shd w:val="clear" w:color="auto" w:fill="auto"/>
            <w:noWrap/>
            <w:vAlign w:val="bottom"/>
            <w:hideMark/>
          </w:tcPr>
          <w:p w:rsidR="00A47555" w:rsidRPr="005822FC" w:rsidRDefault="00A47555" w:rsidP="00A47555">
            <w:pPr>
              <w:spacing w:after="0" w:line="240" w:lineRule="auto"/>
              <w:rPr>
                <w:rFonts w:eastAsia="Times New Roman" w:cs="Times New Roman"/>
                <w:color w:val="000000"/>
              </w:rPr>
            </w:pPr>
          </w:p>
        </w:tc>
      </w:tr>
    </w:tbl>
    <w:p w:rsidR="00AC306D" w:rsidRPr="00C3356E" w:rsidRDefault="00AC306D" w:rsidP="00C3356E">
      <w:pPr>
        <w:pStyle w:val="Heading1"/>
        <w:sectPr w:rsidR="00AC306D" w:rsidRPr="00C3356E" w:rsidSect="00392999">
          <w:type w:val="continuous"/>
          <w:pgSz w:w="12240" w:h="15840"/>
          <w:pgMar w:top="1440" w:right="1440" w:bottom="1440" w:left="1440" w:header="720" w:footer="720" w:gutter="0"/>
          <w:cols w:num="2" w:space="432" w:equalWidth="0">
            <w:col w:w="6000" w:space="720"/>
            <w:col w:w="2640"/>
          </w:cols>
          <w:docGrid w:linePitch="360"/>
        </w:sectPr>
      </w:pPr>
    </w:p>
    <w:p w:rsidR="00A0642D" w:rsidRDefault="00161A1D" w:rsidP="005B48B7">
      <w:pPr>
        <w:spacing w:before="120" w:after="120" w:line="360" w:lineRule="atLeast"/>
        <w:jc w:val="both"/>
        <w:rPr>
          <w:noProof/>
          <w:lang w:bidi="ps-AF"/>
        </w:rPr>
      </w:pPr>
      <w:r w:rsidRPr="00A377E3">
        <w:lastRenderedPageBreak/>
        <w:t>Non-food inflation on the month-to-month basis exhibited lower rate from its previous month’s value. Observing the data, it decreased to -0.3</w:t>
      </w:r>
      <w:r w:rsidR="00C3356E">
        <w:t>5</w:t>
      </w:r>
      <w:r w:rsidRPr="00A377E3">
        <w:t xml:space="preserve"> percent from 0.35 percent</w:t>
      </w:r>
    </w:p>
    <w:p w:rsidR="00A0642D" w:rsidRDefault="008E6F4A" w:rsidP="006E31D6">
      <w:pPr>
        <w:spacing w:before="120" w:after="120" w:line="360" w:lineRule="atLeast"/>
        <w:jc w:val="both"/>
        <w:rPr>
          <w:noProof/>
          <w:lang w:bidi="ps-AF"/>
        </w:rPr>
      </w:pPr>
      <w:r>
        <w:rPr>
          <w:noProof/>
        </w:rPr>
        <w:drawing>
          <wp:inline distT="0" distB="0" distL="0" distR="0">
            <wp:extent cx="2286000" cy="13716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642D" w:rsidRDefault="00A0642D"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6A0F93" w:rsidRDefault="006A0F93" w:rsidP="006E31D6">
      <w:pPr>
        <w:spacing w:before="120" w:after="120" w:line="360" w:lineRule="atLeast"/>
        <w:jc w:val="both"/>
        <w:rPr>
          <w:noProof/>
          <w:lang w:bidi="ps-AF"/>
        </w:rPr>
      </w:pPr>
    </w:p>
    <w:p w:rsidR="006A0F93" w:rsidRDefault="006A0F93" w:rsidP="006E31D6">
      <w:pPr>
        <w:spacing w:before="120" w:after="120" w:line="360" w:lineRule="atLeast"/>
        <w:jc w:val="both"/>
        <w:rPr>
          <w:noProof/>
          <w:lang w:bidi="ps-AF"/>
        </w:rPr>
      </w:pPr>
    </w:p>
    <w:p w:rsidR="00555A15" w:rsidRDefault="00555A15" w:rsidP="006E31D6">
      <w:pPr>
        <w:spacing w:before="120" w:after="120" w:line="360" w:lineRule="atLeast"/>
        <w:jc w:val="both"/>
        <w:rPr>
          <w:noProof/>
          <w:lang w:bidi="ps-AF"/>
        </w:rPr>
      </w:pPr>
    </w:p>
    <w:p w:rsidR="00555A15" w:rsidRDefault="00555A15" w:rsidP="006E31D6">
      <w:pPr>
        <w:spacing w:before="120" w:after="120" w:line="360" w:lineRule="atLeast"/>
        <w:jc w:val="both"/>
        <w:rPr>
          <w:noProof/>
          <w:lang w:bidi="ps-AF"/>
        </w:rPr>
      </w:pPr>
    </w:p>
    <w:p w:rsidR="00555A15" w:rsidRDefault="00555A15" w:rsidP="006E31D6">
      <w:pPr>
        <w:spacing w:before="120" w:after="120" w:line="360" w:lineRule="atLeast"/>
        <w:jc w:val="both"/>
        <w:rPr>
          <w:noProof/>
          <w:lang w:bidi="ps-AF"/>
        </w:rPr>
      </w:pPr>
    </w:p>
    <w:p w:rsidR="00555A15" w:rsidRDefault="00555A15" w:rsidP="006E31D6">
      <w:pPr>
        <w:spacing w:before="120" w:after="120" w:line="360" w:lineRule="atLeast"/>
        <w:jc w:val="both"/>
        <w:rPr>
          <w:noProof/>
          <w:lang w:bidi="ps-AF"/>
        </w:rPr>
      </w:pPr>
    </w:p>
    <w:p w:rsidR="00555A15" w:rsidRDefault="00555A15" w:rsidP="006E31D6">
      <w:pPr>
        <w:spacing w:before="120" w:after="120" w:line="360" w:lineRule="atLeast"/>
        <w:jc w:val="both"/>
        <w:rPr>
          <w:noProof/>
          <w:lang w:bidi="ps-AF"/>
        </w:rPr>
      </w:pPr>
    </w:p>
    <w:p w:rsidR="005B48B7" w:rsidRDefault="005B48B7" w:rsidP="006E31D6">
      <w:pPr>
        <w:spacing w:before="120" w:after="120" w:line="360" w:lineRule="atLeast"/>
        <w:jc w:val="both"/>
        <w:rPr>
          <w:noProof/>
          <w:lang w:bidi="ps-AF"/>
        </w:rPr>
      </w:pPr>
    </w:p>
    <w:p w:rsidR="005B48B7" w:rsidRDefault="005B48B7" w:rsidP="006E31D6">
      <w:pPr>
        <w:spacing w:before="120" w:after="120" w:line="360" w:lineRule="atLeast"/>
        <w:jc w:val="both"/>
        <w:rPr>
          <w:noProof/>
          <w:lang w:bidi="ps-AF"/>
        </w:rPr>
      </w:pPr>
    </w:p>
    <w:p w:rsidR="005B48B7" w:rsidRDefault="005B48B7"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98633F" w:rsidRDefault="0098633F" w:rsidP="006E31D6">
      <w:pPr>
        <w:spacing w:before="120" w:after="120" w:line="360" w:lineRule="atLeast"/>
        <w:jc w:val="both"/>
        <w:rPr>
          <w:noProof/>
          <w:lang w:bidi="ps-AF"/>
        </w:rPr>
      </w:pPr>
    </w:p>
    <w:p w:rsidR="006F7003" w:rsidRPr="00A377E3" w:rsidRDefault="006F7003" w:rsidP="00F86B00">
      <w:pPr>
        <w:jc w:val="both"/>
      </w:pPr>
      <w:r w:rsidRPr="00A377E3">
        <w:rPr>
          <w:b/>
          <w:bCs/>
        </w:rPr>
        <w:lastRenderedPageBreak/>
        <w:t xml:space="preserve">Clothing price index </w:t>
      </w:r>
      <w:r w:rsidRPr="00A377E3">
        <w:t xml:space="preserve">which comprises around 4.6 percent of the overall index, decreased in July 2020 to 6.77 percent (year over year), while it was calculated 7.54 percent in the previous month. </w:t>
      </w:r>
      <w:r w:rsidR="00455E43">
        <w:t xml:space="preserve">On the other </w:t>
      </w:r>
      <w:r w:rsidR="003D6715">
        <w:t>hand,</w:t>
      </w:r>
      <w:r w:rsidRPr="00A377E3">
        <w:t xml:space="preserve"> this index increased on month to month basis turning around to -0.78 percent from -1.59 percent. </w:t>
      </w:r>
      <w:r w:rsidR="00555A15" w:rsidRPr="00A377E3">
        <w:t xml:space="preserve">In the previous month the price of </w:t>
      </w:r>
      <w:r w:rsidR="003D6715" w:rsidRPr="00A377E3">
        <w:t>clothing in</w:t>
      </w:r>
      <w:r w:rsidR="00555A15" w:rsidRPr="00A377E3">
        <w:t xml:space="preserve"> the country had increased due to transport </w:t>
      </w:r>
      <w:r w:rsidR="003D6715" w:rsidRPr="00A377E3">
        <w:t>restrictions and</w:t>
      </w:r>
      <w:r w:rsidR="00555A15" w:rsidRPr="00A377E3">
        <w:t xml:space="preserve"> inadequate </w:t>
      </w:r>
      <w:r w:rsidR="00F86B00">
        <w:t>supply chain</w:t>
      </w:r>
      <w:r w:rsidR="00555A15" w:rsidRPr="00A377E3">
        <w:t xml:space="preserve"> of cloth and foot wears</w:t>
      </w:r>
      <w:r w:rsidR="00F86B00">
        <w:t xml:space="preserve"> from neighboring </w:t>
      </w:r>
      <w:r w:rsidR="003D6715">
        <w:t>countries,</w:t>
      </w:r>
      <w:r w:rsidR="003D6715" w:rsidRPr="00A377E3">
        <w:t xml:space="preserve"> now</w:t>
      </w:r>
      <w:r w:rsidR="00555A15" w:rsidRPr="00A377E3">
        <w:t xml:space="preserve"> with the eased of restrictions, and smooth supply chain helped to bring back the price of mentioned index to the normal level. </w:t>
      </w:r>
      <w:r w:rsidR="000D2F8F" w:rsidRPr="00A377E3">
        <w:t>Also</w:t>
      </w:r>
      <w:r w:rsidR="005B48B7">
        <w:t xml:space="preserve"> as most of clothing is</w:t>
      </w:r>
      <w:r w:rsidR="00555A15" w:rsidRPr="00A377E3">
        <w:t xml:space="preserve"> importing from Pakistan since </w:t>
      </w:r>
      <w:r w:rsidR="000D2F8F" w:rsidRPr="00A377E3">
        <w:t>the price</w:t>
      </w:r>
      <w:r w:rsidR="00555A15" w:rsidRPr="00A377E3">
        <w:t xml:space="preserve"> of clothing and foot wear has been decreased from 11 percent to 10.03 percent in Pakistan therefore it has direct effect on</w:t>
      </w:r>
      <w:r w:rsidR="00F86B00">
        <w:t xml:space="preserve"> price of</w:t>
      </w:r>
      <w:r w:rsidR="00555A15" w:rsidRPr="00A377E3">
        <w:t xml:space="preserve"> this index.</w:t>
      </w:r>
    </w:p>
    <w:p w:rsidR="006F7003" w:rsidRPr="00A377E3" w:rsidRDefault="006F7003" w:rsidP="006F7003">
      <w:pPr>
        <w:jc w:val="both"/>
      </w:pPr>
      <w:r w:rsidRPr="00A377E3">
        <w:rPr>
          <w:b/>
          <w:bCs/>
        </w:rPr>
        <w:t xml:space="preserve">Price index of housing, electricity, water and gas </w:t>
      </w:r>
      <w:r w:rsidRPr="00A377E3">
        <w:t>increased in July 2020. On year over year basis, this index increased to -2.77 percent from -4.02 percent observed in the previous month. This index is dedicated for more than 19 percent of the whole index; therefore, any changes in its price may significantly affect the overall CPI. Considering the month to month changes, housing index decreased to 0.14 percent from 0.16 percent.</w:t>
      </w:r>
      <w:r w:rsidR="00555A15" w:rsidRPr="00A377E3">
        <w:t xml:space="preserve"> With the eased of lockdown, and restarting home constructions, demand for construction materials grew up which lead to increase</w:t>
      </w:r>
      <w:r w:rsidR="00F86B00">
        <w:t xml:space="preserve"> the</w:t>
      </w:r>
      <w:r w:rsidR="00555A15" w:rsidRPr="00A377E3">
        <w:t xml:space="preserve"> prices of mentioned index.</w:t>
      </w:r>
    </w:p>
    <w:p w:rsidR="00730FA9" w:rsidRPr="00B841E8" w:rsidRDefault="00730FA9" w:rsidP="005C7713">
      <w:pPr>
        <w:spacing w:before="120" w:after="120" w:line="360" w:lineRule="atLeast"/>
        <w:jc w:val="both"/>
        <w:rPr>
          <w:color w:val="548DD4"/>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953705" w:rsidRDefault="00953705" w:rsidP="006E31D6">
      <w:pPr>
        <w:spacing w:before="120" w:after="120" w:line="360" w:lineRule="atLeast"/>
        <w:jc w:val="both"/>
        <w:rPr>
          <w:noProof/>
          <w:lang w:bidi="ps-AF"/>
        </w:rPr>
      </w:pPr>
    </w:p>
    <w:p w:rsidR="00953705" w:rsidRDefault="00953705" w:rsidP="006E31D6">
      <w:pPr>
        <w:spacing w:before="120" w:after="120" w:line="360" w:lineRule="atLeast"/>
        <w:jc w:val="both"/>
        <w:rPr>
          <w:noProof/>
          <w:lang w:bidi="ps-AF"/>
        </w:rPr>
      </w:pPr>
    </w:p>
    <w:p w:rsidR="00953705" w:rsidRDefault="00953705" w:rsidP="006E31D6">
      <w:pPr>
        <w:spacing w:before="120" w:after="120" w:line="360" w:lineRule="atLeast"/>
        <w:jc w:val="both"/>
        <w:rPr>
          <w:noProof/>
          <w:lang w:bidi="ps-AF"/>
        </w:rPr>
      </w:pPr>
    </w:p>
    <w:p w:rsidR="00953705" w:rsidRDefault="00953705"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916954" w:rsidP="006E31D6">
      <w:pPr>
        <w:spacing w:before="120" w:after="120" w:line="360" w:lineRule="atLeast"/>
        <w:jc w:val="both"/>
        <w:rPr>
          <w:noProof/>
          <w:lang w:bidi="ps-AF"/>
        </w:rPr>
      </w:pPr>
      <w:r w:rsidRPr="004043DC">
        <w:rPr>
          <w:noProof/>
        </w:rPr>
        <w:lastRenderedPageBreak/>
        <w:drawing>
          <wp:inline distT="0" distB="0" distL="0" distR="0">
            <wp:extent cx="2286000" cy="1371600"/>
            <wp:effectExtent l="0" t="0" r="0" b="0"/>
            <wp:docPr id="1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270FA" w:rsidP="006E31D6">
      <w:pPr>
        <w:spacing w:before="120" w:after="120" w:line="360" w:lineRule="atLeast"/>
        <w:jc w:val="both"/>
        <w:rPr>
          <w:noProof/>
          <w:lang w:bidi="ps-AF"/>
        </w:rPr>
      </w:pPr>
      <w:r w:rsidRPr="007270FA">
        <w:rPr>
          <w:noProof/>
        </w:rPr>
        <w:drawing>
          <wp:inline distT="0" distB="0" distL="0" distR="0">
            <wp:extent cx="2286000" cy="1371600"/>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730FA9" w:rsidRDefault="00730FA9" w:rsidP="006E31D6">
      <w:pPr>
        <w:spacing w:before="120" w:after="120" w:line="360" w:lineRule="atLeast"/>
        <w:jc w:val="both"/>
        <w:rPr>
          <w:noProof/>
          <w:lang w:bidi="ps-AF"/>
        </w:rPr>
      </w:pPr>
    </w:p>
    <w:p w:rsidR="000F0B0A" w:rsidRDefault="000F0B0A" w:rsidP="006E31D6">
      <w:pPr>
        <w:spacing w:before="120" w:after="120" w:line="360" w:lineRule="atLeast"/>
        <w:jc w:val="both"/>
        <w:rPr>
          <w:noProof/>
          <w:lang w:bidi="ps-AF"/>
        </w:rPr>
      </w:pPr>
    </w:p>
    <w:p w:rsidR="00B7451C" w:rsidRDefault="00B7451C" w:rsidP="006E31D6">
      <w:pPr>
        <w:spacing w:before="120" w:after="120" w:line="360" w:lineRule="atLeast"/>
        <w:jc w:val="both"/>
        <w:rPr>
          <w:noProof/>
          <w:lang w:bidi="ps-AF"/>
        </w:rPr>
      </w:pPr>
    </w:p>
    <w:p w:rsidR="00215224" w:rsidRDefault="00215224" w:rsidP="006E31D6">
      <w:pPr>
        <w:spacing w:before="120" w:after="120" w:line="360" w:lineRule="atLeast"/>
        <w:jc w:val="both"/>
        <w:rPr>
          <w:noProof/>
          <w:lang w:bidi="ps-AF"/>
        </w:rPr>
      </w:pPr>
    </w:p>
    <w:p w:rsidR="00A47555" w:rsidRDefault="00A47555" w:rsidP="006E31D6">
      <w:pPr>
        <w:spacing w:before="120" w:after="120" w:line="360" w:lineRule="atLeast"/>
        <w:jc w:val="both"/>
        <w:rPr>
          <w:noProof/>
          <w:lang w:bidi="ps-AF"/>
        </w:rPr>
      </w:pPr>
    </w:p>
    <w:p w:rsidR="00E70847" w:rsidRDefault="00E70847" w:rsidP="006E31D6">
      <w:pPr>
        <w:spacing w:before="120" w:after="120" w:line="360" w:lineRule="atLeast"/>
        <w:jc w:val="both"/>
        <w:rPr>
          <w:noProof/>
          <w:lang w:bidi="ps-AF"/>
        </w:rPr>
      </w:pPr>
    </w:p>
    <w:p w:rsidR="00E70847" w:rsidRDefault="00E70847" w:rsidP="006E31D6">
      <w:pPr>
        <w:spacing w:before="120" w:after="120" w:line="360" w:lineRule="atLeast"/>
        <w:jc w:val="both"/>
        <w:rPr>
          <w:noProof/>
          <w:lang w:bidi="ps-AF"/>
        </w:rPr>
      </w:pPr>
    </w:p>
    <w:p w:rsidR="00E70847" w:rsidRDefault="00E70847" w:rsidP="006E31D6">
      <w:pPr>
        <w:spacing w:before="120" w:after="120" w:line="360" w:lineRule="atLeast"/>
        <w:jc w:val="both"/>
        <w:rPr>
          <w:noProof/>
          <w:lang w:bidi="ps-AF"/>
        </w:rPr>
      </w:pPr>
    </w:p>
    <w:p w:rsidR="00A47555" w:rsidRDefault="00A47555" w:rsidP="006E31D6">
      <w:pPr>
        <w:spacing w:before="120" w:after="120" w:line="360" w:lineRule="atLeast"/>
        <w:jc w:val="both"/>
        <w:rPr>
          <w:noProof/>
          <w:lang w:bidi="ps-AF"/>
        </w:rPr>
      </w:pPr>
    </w:p>
    <w:p w:rsidR="007270FA" w:rsidRDefault="007270FA" w:rsidP="006E31D6">
      <w:pPr>
        <w:spacing w:before="120" w:after="120" w:line="360" w:lineRule="atLeast"/>
        <w:jc w:val="both"/>
        <w:rPr>
          <w:noProof/>
          <w:lang w:bidi="ps-AF"/>
        </w:rPr>
      </w:pPr>
    </w:p>
    <w:p w:rsidR="006F7003" w:rsidRPr="00A377E3" w:rsidRDefault="006F7003" w:rsidP="00F86B00">
      <w:pPr>
        <w:spacing w:before="120" w:after="120" w:line="360" w:lineRule="atLeast"/>
        <w:jc w:val="both"/>
      </w:pPr>
      <w:r w:rsidRPr="00A377E3">
        <w:rPr>
          <w:b/>
          <w:bCs/>
        </w:rPr>
        <w:lastRenderedPageBreak/>
        <w:t>Price index of furnishing and household goods</w:t>
      </w:r>
      <w:r w:rsidRPr="00A377E3">
        <w:t xml:space="preserve"> increased in the month of July 2020. This index which holds a healthy weight of 12 percent in the CPI, increased to 1.89 percent from 0.78 percent. </w:t>
      </w:r>
      <w:r w:rsidR="00F86B00">
        <w:t xml:space="preserve">in the </w:t>
      </w:r>
      <w:r w:rsidR="003D6715">
        <w:t>meantime,</w:t>
      </w:r>
      <w:r w:rsidRPr="00A377E3">
        <w:t xml:space="preserve"> month to month basis this index also increased to 0.43 percent from -0.60 percent. </w:t>
      </w:r>
      <w:r w:rsidR="00F86B00">
        <w:t>The main reason behind increase in price of this index is d</w:t>
      </w:r>
      <w:r w:rsidR="00555A15" w:rsidRPr="00A377E3">
        <w:t>ue to Eid-</w:t>
      </w:r>
      <w:r w:rsidR="00F86B00">
        <w:t xml:space="preserve">ul - Adha Preparation which demandfor </w:t>
      </w:r>
      <w:r w:rsidR="00555A15" w:rsidRPr="00A377E3">
        <w:t>purchasing furnishing and household’s goods has increased.</w:t>
      </w:r>
    </w:p>
    <w:p w:rsidR="008C4A4A" w:rsidRPr="00A377E3" w:rsidRDefault="006F7003" w:rsidP="00555A15">
      <w:pPr>
        <w:jc w:val="both"/>
      </w:pPr>
      <w:r w:rsidRPr="00A377E3">
        <w:rPr>
          <w:b/>
          <w:bCs/>
        </w:rPr>
        <w:t>Price index of Health</w:t>
      </w:r>
      <w:r w:rsidRPr="00A377E3">
        <w:t xml:space="preserve"> decreased in the month of July 2020. Health index which comprises more than 6 percent of the overall CPI decreased to 8.72 percent from 8.86 percent (year over year). While, measured on the month to month basis, it also decreased to 0.19 percent from 4.60 percent observed in the previous month. </w:t>
      </w:r>
      <w:r w:rsidR="00555A15" w:rsidRPr="00A377E3">
        <w:t>As the number of covid-19 patients have been reduced in the country, therefore demand for purchasing medicine has been declined which caused decrease in price of this index.</w:t>
      </w:r>
    </w:p>
    <w:p w:rsidR="00B55BD3" w:rsidRPr="00A377E3" w:rsidRDefault="00B55BD3" w:rsidP="00B55BD3">
      <w:pPr>
        <w:jc w:val="both"/>
      </w:pPr>
    </w:p>
    <w:p w:rsidR="006F7003" w:rsidRPr="00A377E3" w:rsidRDefault="006F7003" w:rsidP="006558D2">
      <w:pPr>
        <w:jc w:val="both"/>
        <w:rPr>
          <w:rFonts w:eastAsia="Times New Roman" w:cs="Times New Roman"/>
        </w:rPr>
      </w:pPr>
      <w:r w:rsidRPr="00A377E3">
        <w:rPr>
          <w:b/>
          <w:bCs/>
        </w:rPr>
        <w:t>Transportation price index</w:t>
      </w:r>
      <w:r w:rsidRPr="00A377E3">
        <w:t xml:space="preserve"> accounts for 4.3 percent of the whole index. Observing the data, transportation index year on year basis decreased to -14.76 percent from -10.44 percent recorded in the previous month. </w:t>
      </w:r>
      <w:r w:rsidR="006558D2">
        <w:t>I</w:t>
      </w:r>
      <w:r w:rsidRPr="00A377E3">
        <w:t xml:space="preserve">nflation rate month to month basis also decreased to -5.10 percent from -0.12 percent. </w:t>
      </w:r>
      <w:r w:rsidR="00555A15" w:rsidRPr="00A377E3">
        <w:t>The main reason behind decrease of this index is diesel and crude oil prices decreased respectively by -0.31 percent and -35 percent in global markets.</w:t>
      </w:r>
    </w:p>
    <w:p w:rsidR="005426DA" w:rsidRPr="00A377E3" w:rsidRDefault="005426DA" w:rsidP="00374828">
      <w:pPr>
        <w:spacing w:before="120" w:after="120" w:line="240" w:lineRule="auto"/>
        <w:jc w:val="both"/>
        <w:rPr>
          <w:rFonts w:eastAsia="Times New Roman" w:cs="Times New Roman"/>
          <w:rtl/>
          <w:lang w:bidi="fa-IR"/>
        </w:rPr>
      </w:pPr>
    </w:p>
    <w:p w:rsidR="00730FA9" w:rsidRPr="00A377E3" w:rsidRDefault="00730FA9" w:rsidP="005426DA">
      <w:pPr>
        <w:spacing w:before="120" w:after="120" w:line="240" w:lineRule="auto"/>
        <w:jc w:val="both"/>
        <w:rPr>
          <w:b/>
          <w:bCs/>
        </w:rPr>
      </w:pPr>
    </w:p>
    <w:p w:rsidR="004C2C81" w:rsidRDefault="004C2C81" w:rsidP="005426DA">
      <w:pPr>
        <w:spacing w:before="120" w:after="120" w:line="240" w:lineRule="auto"/>
        <w:jc w:val="both"/>
        <w:rPr>
          <w:b/>
          <w:bCs/>
        </w:rPr>
      </w:pPr>
    </w:p>
    <w:p w:rsidR="006558D2" w:rsidRDefault="006558D2" w:rsidP="005426DA">
      <w:pPr>
        <w:spacing w:before="120" w:after="120" w:line="240" w:lineRule="auto"/>
        <w:jc w:val="both"/>
        <w:rPr>
          <w:b/>
          <w:bCs/>
        </w:rPr>
      </w:pPr>
    </w:p>
    <w:p w:rsidR="006558D2" w:rsidRPr="00A377E3" w:rsidRDefault="006558D2" w:rsidP="005426DA">
      <w:pPr>
        <w:spacing w:before="120" w:after="120" w:line="240" w:lineRule="auto"/>
        <w:jc w:val="both"/>
        <w:rPr>
          <w:b/>
          <w:bCs/>
        </w:rPr>
      </w:pPr>
    </w:p>
    <w:p w:rsidR="006F7003" w:rsidRPr="00A377E3" w:rsidRDefault="006F7003" w:rsidP="009759B0">
      <w:pPr>
        <w:spacing w:before="120" w:after="120" w:line="360" w:lineRule="atLeast"/>
        <w:jc w:val="both"/>
        <w:rPr>
          <w:noProof/>
        </w:rPr>
      </w:pPr>
    </w:p>
    <w:p w:rsidR="00730FA9" w:rsidRPr="00A377E3" w:rsidRDefault="00916954" w:rsidP="009759B0">
      <w:pPr>
        <w:spacing w:before="120" w:after="120" w:line="360" w:lineRule="atLeast"/>
        <w:jc w:val="both"/>
        <w:rPr>
          <w:b/>
          <w:bCs/>
        </w:rPr>
      </w:pPr>
      <w:r w:rsidRPr="00A377E3">
        <w:rPr>
          <w:noProof/>
        </w:rPr>
        <w:lastRenderedPageBreak/>
        <w:drawing>
          <wp:inline distT="0" distB="0" distL="0" distR="0">
            <wp:extent cx="2286000" cy="1371600"/>
            <wp:effectExtent l="0" t="0" r="0" b="0"/>
            <wp:docPr id="16"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30FA9" w:rsidRPr="00A377E3" w:rsidRDefault="00730FA9" w:rsidP="009759B0">
      <w:pPr>
        <w:spacing w:before="120" w:after="120" w:line="360" w:lineRule="atLeast"/>
        <w:jc w:val="both"/>
        <w:rPr>
          <w:b/>
          <w:bCs/>
        </w:rPr>
      </w:pPr>
    </w:p>
    <w:p w:rsidR="00D854A1" w:rsidRPr="00A377E3" w:rsidRDefault="003C5AED" w:rsidP="009759B0">
      <w:pPr>
        <w:spacing w:before="120" w:after="120" w:line="360" w:lineRule="atLeast"/>
        <w:jc w:val="both"/>
        <w:rPr>
          <w:b/>
          <w:bCs/>
        </w:rPr>
      </w:pPr>
      <w:r w:rsidRPr="003C5AED">
        <w:rPr>
          <w:b/>
          <w:bCs/>
          <w:noProof/>
        </w:rPr>
        <w:drawing>
          <wp:inline distT="0" distB="0" distL="0" distR="0">
            <wp:extent cx="2286000" cy="1371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0FA9" w:rsidRPr="00A377E3" w:rsidRDefault="00730FA9" w:rsidP="009759B0">
      <w:pPr>
        <w:spacing w:before="120" w:after="120" w:line="360" w:lineRule="atLeast"/>
        <w:jc w:val="both"/>
        <w:rPr>
          <w:b/>
          <w:bCs/>
        </w:rPr>
      </w:pPr>
    </w:p>
    <w:p w:rsidR="00730FA9" w:rsidRPr="00A377E3" w:rsidRDefault="00730FA9" w:rsidP="009759B0">
      <w:pPr>
        <w:spacing w:before="120" w:after="120" w:line="360" w:lineRule="atLeast"/>
        <w:jc w:val="both"/>
        <w:rPr>
          <w:b/>
          <w:bCs/>
        </w:rPr>
      </w:pPr>
    </w:p>
    <w:p w:rsidR="00730FA9" w:rsidRPr="00A377E3" w:rsidRDefault="00916954" w:rsidP="009759B0">
      <w:pPr>
        <w:spacing w:before="120" w:after="120" w:line="360" w:lineRule="atLeast"/>
        <w:jc w:val="both"/>
        <w:rPr>
          <w:b/>
          <w:bCs/>
        </w:rPr>
      </w:pPr>
      <w:r w:rsidRPr="00A377E3">
        <w:rPr>
          <w:noProof/>
        </w:rPr>
        <w:drawing>
          <wp:inline distT="0" distB="0" distL="0" distR="0">
            <wp:extent cx="2286000" cy="1371600"/>
            <wp:effectExtent l="0" t="0" r="0" b="0"/>
            <wp:docPr id="18"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30FA9" w:rsidRPr="00A377E3" w:rsidRDefault="00730FA9" w:rsidP="009759B0">
      <w:pPr>
        <w:spacing w:before="120" w:after="120" w:line="360" w:lineRule="atLeast"/>
        <w:jc w:val="both"/>
        <w:rPr>
          <w:b/>
          <w:bCs/>
        </w:rPr>
      </w:pPr>
    </w:p>
    <w:p w:rsidR="00730FA9" w:rsidRPr="00A377E3" w:rsidRDefault="00730FA9" w:rsidP="009759B0">
      <w:pPr>
        <w:spacing w:before="120" w:after="120" w:line="360" w:lineRule="atLeast"/>
        <w:jc w:val="both"/>
        <w:rPr>
          <w:b/>
          <w:bCs/>
        </w:rPr>
      </w:pPr>
    </w:p>
    <w:p w:rsidR="00730FA9" w:rsidRPr="00A377E3" w:rsidRDefault="00730FA9" w:rsidP="009759B0">
      <w:pPr>
        <w:spacing w:before="120" w:after="120" w:line="360" w:lineRule="atLeast"/>
        <w:jc w:val="both"/>
        <w:rPr>
          <w:b/>
          <w:bCs/>
        </w:rPr>
      </w:pPr>
    </w:p>
    <w:p w:rsidR="00730FA9" w:rsidRDefault="00730FA9" w:rsidP="009759B0">
      <w:pPr>
        <w:spacing w:before="120" w:after="120" w:line="360" w:lineRule="atLeast"/>
        <w:jc w:val="both"/>
        <w:rPr>
          <w:b/>
          <w:bCs/>
        </w:rPr>
      </w:pPr>
    </w:p>
    <w:p w:rsidR="006558D2" w:rsidRDefault="006558D2" w:rsidP="009759B0">
      <w:pPr>
        <w:spacing w:before="120" w:after="120" w:line="360" w:lineRule="atLeast"/>
        <w:jc w:val="both"/>
        <w:rPr>
          <w:b/>
          <w:bCs/>
        </w:rPr>
      </w:pPr>
    </w:p>
    <w:p w:rsidR="00E70847" w:rsidRDefault="00E70847" w:rsidP="009759B0">
      <w:pPr>
        <w:spacing w:before="120" w:after="120" w:line="360" w:lineRule="atLeast"/>
        <w:jc w:val="both"/>
        <w:rPr>
          <w:b/>
          <w:bCs/>
        </w:rPr>
      </w:pPr>
    </w:p>
    <w:p w:rsidR="00E70847" w:rsidRPr="00A377E3" w:rsidRDefault="00E70847" w:rsidP="009759B0">
      <w:pPr>
        <w:spacing w:before="120" w:after="120" w:line="360" w:lineRule="atLeast"/>
        <w:jc w:val="both"/>
        <w:rPr>
          <w:b/>
          <w:bCs/>
        </w:rPr>
      </w:pPr>
    </w:p>
    <w:p w:rsidR="006F7003" w:rsidRPr="00A377E3" w:rsidRDefault="006F7003" w:rsidP="009759B0">
      <w:pPr>
        <w:spacing w:before="120" w:after="120" w:line="360" w:lineRule="atLeast"/>
        <w:jc w:val="both"/>
        <w:rPr>
          <w:b/>
          <w:bCs/>
        </w:rPr>
      </w:pPr>
    </w:p>
    <w:p w:rsidR="00730FA9" w:rsidRPr="00A377E3" w:rsidRDefault="00730FA9" w:rsidP="009759B0">
      <w:pPr>
        <w:spacing w:before="120" w:after="120" w:line="360" w:lineRule="atLeast"/>
        <w:jc w:val="both"/>
        <w:rPr>
          <w:b/>
          <w:bCs/>
        </w:rPr>
      </w:pPr>
    </w:p>
    <w:p w:rsidR="006F7003" w:rsidRPr="00A377E3" w:rsidRDefault="006F7003" w:rsidP="006558D2">
      <w:pPr>
        <w:spacing w:before="120" w:after="120" w:line="360" w:lineRule="atLeast"/>
        <w:jc w:val="both"/>
      </w:pPr>
      <w:r w:rsidRPr="00A377E3">
        <w:rPr>
          <w:b/>
          <w:bCs/>
        </w:rPr>
        <w:lastRenderedPageBreak/>
        <w:t xml:space="preserve">Communication price index </w:t>
      </w:r>
      <w:r w:rsidRPr="00A377E3">
        <w:t xml:space="preserve">during July 2020, increased to -2.06 percent (year over year) from -2.40 </w:t>
      </w:r>
      <w:r w:rsidRPr="00A377E3" w:rsidDel="008347F1">
        <w:t>percent</w:t>
      </w:r>
      <w:r w:rsidRPr="00A377E3">
        <w:t xml:space="preserve"> observed one month back. </w:t>
      </w:r>
      <w:r w:rsidR="006558D2">
        <w:t>T</w:t>
      </w:r>
      <w:r w:rsidRPr="00A377E3">
        <w:t xml:space="preserve">his index also increased on month to month basis turning around to -0.07 percent from -0.20 percent. </w:t>
      </w:r>
    </w:p>
    <w:p w:rsidR="006F7003" w:rsidRPr="00A377E3" w:rsidRDefault="006F7003" w:rsidP="006F7003">
      <w:pPr>
        <w:spacing w:before="120" w:after="120" w:line="360" w:lineRule="atLeast"/>
        <w:jc w:val="both"/>
      </w:pPr>
      <w:r w:rsidRPr="00A377E3">
        <w:t xml:space="preserve"> In addition, </w:t>
      </w:r>
      <w:r w:rsidRPr="00A377E3">
        <w:rPr>
          <w:b/>
          <w:bCs/>
        </w:rPr>
        <w:t>price index of information and culture</w:t>
      </w:r>
      <w:r w:rsidRPr="00A377E3">
        <w:t xml:space="preserve"> recorded a rate of 0.68 percent (year over year) in </w:t>
      </w:r>
      <w:r w:rsidR="00A377E3" w:rsidRPr="00A377E3">
        <w:t>July</w:t>
      </w:r>
      <w:r w:rsidRPr="00A377E3">
        <w:t xml:space="preserve"> from its previous value of 3.15 percent. On the month to month basis, this index decreased to -1.85 percent from 0.70 percent.</w:t>
      </w:r>
    </w:p>
    <w:p w:rsidR="006F7003" w:rsidRPr="00A377E3" w:rsidRDefault="006F7003" w:rsidP="006F7003">
      <w:pPr>
        <w:spacing w:before="120" w:after="120" w:line="360" w:lineRule="atLeast"/>
        <w:jc w:val="both"/>
      </w:pPr>
      <w:r w:rsidRPr="00A377E3">
        <w:rPr>
          <w:b/>
          <w:bCs/>
        </w:rPr>
        <w:t xml:space="preserve">Education price index, </w:t>
      </w:r>
      <w:r w:rsidRPr="00A377E3">
        <w:t xml:space="preserve">increased in the month of </w:t>
      </w:r>
      <w:r w:rsidR="00A377E3" w:rsidRPr="00A377E3">
        <w:t>July</w:t>
      </w:r>
      <w:r w:rsidRPr="00A377E3">
        <w:t>. Observing the data, this index increased to 1.16 percent from 0.83 percent (year over year), this index is decreased to 0.01 percent from 0.07 percent (month to month).</w:t>
      </w:r>
    </w:p>
    <w:p w:rsidR="00555A15" w:rsidRPr="00A377E3" w:rsidRDefault="00555A15" w:rsidP="006558D2">
      <w:pPr>
        <w:spacing w:before="120" w:after="120" w:line="360" w:lineRule="atLeast"/>
        <w:jc w:val="both"/>
      </w:pPr>
      <w:r w:rsidRPr="00A377E3">
        <w:t>Previously in order to prevent covid-19 pandemic, education centers were closed which caused decrease in price of this index, now with reopening of universities</w:t>
      </w:r>
      <w:r w:rsidR="006558D2">
        <w:t xml:space="preserve"> has increased the demand for purchasing stationaries.</w:t>
      </w:r>
    </w:p>
    <w:p w:rsidR="006F7003" w:rsidRPr="00A377E3" w:rsidRDefault="00555A15" w:rsidP="00555A15">
      <w:pPr>
        <w:spacing w:before="120" w:after="120" w:line="360" w:lineRule="atLeast"/>
        <w:jc w:val="both"/>
      </w:pPr>
      <w:r w:rsidRPr="00A377E3">
        <w:t>During July</w:t>
      </w:r>
      <w:r w:rsidR="006F7003" w:rsidRPr="00A377E3">
        <w:t xml:space="preserve"> 2020 price decreased in </w:t>
      </w:r>
      <w:r w:rsidR="006F7003" w:rsidRPr="00A377E3">
        <w:rPr>
          <w:b/>
          <w:bCs/>
        </w:rPr>
        <w:t xml:space="preserve">Restaurants and </w:t>
      </w:r>
      <w:r w:rsidR="003D6715" w:rsidRPr="00A377E3">
        <w:rPr>
          <w:b/>
          <w:bCs/>
        </w:rPr>
        <w:t>hotels</w:t>
      </w:r>
      <w:r w:rsidR="003D6715">
        <w:t>(</w:t>
      </w:r>
      <w:r w:rsidR="006F7003" w:rsidRPr="00A377E3">
        <w:t xml:space="preserve">-1.20 percent from 0.97 percent year on year basis), and decreased to -1.89 percent from 0.09 percent on month to month basis. </w:t>
      </w:r>
      <w:r w:rsidRPr="00A377E3">
        <w:t>Price of food and beverages has decreased in the month of July which caused decrease in the price of this index as well.</w:t>
      </w:r>
    </w:p>
    <w:p w:rsidR="006F7003" w:rsidRPr="00A377E3" w:rsidRDefault="006F7003" w:rsidP="006F7003">
      <w:pPr>
        <w:spacing w:before="120" w:after="120" w:line="360" w:lineRule="atLeast"/>
        <w:jc w:val="both"/>
      </w:pPr>
      <w:r w:rsidRPr="00A377E3">
        <w:rPr>
          <w:b/>
          <w:bCs/>
        </w:rPr>
        <w:t xml:space="preserve">Price index of Miscellaneous </w:t>
      </w:r>
      <w:r w:rsidRPr="00A377E3">
        <w:t>decreased to 13.37 percent from 14.17 percent on year-over-year basis. Meantime on the month-to-month basis, price index of miscellaneous also decreased to 0.33 percent from 1.14 percent in the period under review.</w:t>
      </w:r>
    </w:p>
    <w:p w:rsidR="00DF5690" w:rsidRDefault="00DF5690" w:rsidP="00DF5690">
      <w:pPr>
        <w:spacing w:before="120" w:after="120" w:line="360" w:lineRule="atLeast"/>
        <w:jc w:val="both"/>
        <w:rPr>
          <w:color w:val="548DD4"/>
        </w:rPr>
      </w:pPr>
    </w:p>
    <w:p w:rsidR="00A36118" w:rsidRDefault="00A36118" w:rsidP="00730FA9">
      <w:pPr>
        <w:spacing w:before="120" w:after="120" w:line="360" w:lineRule="atLeast"/>
        <w:jc w:val="both"/>
        <w:rPr>
          <w:b/>
          <w:bCs/>
          <w:color w:val="548DD4"/>
        </w:rPr>
      </w:pPr>
    </w:p>
    <w:p w:rsidR="00555A15" w:rsidRPr="00F74A03" w:rsidRDefault="00555A15" w:rsidP="00730FA9">
      <w:pPr>
        <w:spacing w:before="120" w:after="120" w:line="360" w:lineRule="atLeast"/>
        <w:jc w:val="both"/>
        <w:rPr>
          <w:b/>
          <w:bCs/>
          <w:color w:val="548DD4"/>
        </w:rPr>
      </w:pPr>
    </w:p>
    <w:p w:rsidR="00730FA9" w:rsidRDefault="00730FA9" w:rsidP="009759B0">
      <w:pPr>
        <w:spacing w:before="120" w:after="120" w:line="360" w:lineRule="atLeast"/>
        <w:jc w:val="both"/>
        <w:rPr>
          <w:b/>
          <w:bCs/>
          <w:color w:val="548DD4"/>
        </w:rPr>
      </w:pPr>
    </w:p>
    <w:p w:rsidR="00671560" w:rsidRDefault="0039443F" w:rsidP="009759B0">
      <w:pPr>
        <w:spacing w:before="120" w:after="120" w:line="360" w:lineRule="atLeast"/>
        <w:jc w:val="both"/>
        <w:rPr>
          <w:b/>
          <w:bCs/>
          <w:color w:val="548DD4"/>
        </w:rPr>
      </w:pPr>
      <w:r>
        <w:rPr>
          <w:noProof/>
        </w:rPr>
        <w:lastRenderedPageBreak/>
        <w:drawing>
          <wp:inline distT="0" distB="0" distL="0" distR="0">
            <wp:extent cx="2286000" cy="1371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71560" w:rsidRDefault="00671560" w:rsidP="009759B0">
      <w:pPr>
        <w:spacing w:before="120" w:after="120" w:line="360" w:lineRule="atLeast"/>
        <w:jc w:val="both"/>
        <w:rPr>
          <w:b/>
          <w:bCs/>
          <w:color w:val="548DD4"/>
        </w:rPr>
      </w:pPr>
    </w:p>
    <w:p w:rsidR="00671560" w:rsidRDefault="0039443F" w:rsidP="009759B0">
      <w:pPr>
        <w:spacing w:before="120" w:after="120" w:line="360" w:lineRule="atLeast"/>
        <w:jc w:val="both"/>
        <w:rPr>
          <w:b/>
          <w:bCs/>
          <w:color w:val="548DD4"/>
        </w:rPr>
      </w:pPr>
      <w:r>
        <w:rPr>
          <w:noProof/>
        </w:rPr>
        <w:drawing>
          <wp:inline distT="0" distB="0" distL="0" distR="0">
            <wp:extent cx="2286000" cy="13716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1560" w:rsidRDefault="00671560" w:rsidP="009759B0">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39443F" w:rsidP="00730FA9">
      <w:pPr>
        <w:spacing w:before="120" w:after="120" w:line="360" w:lineRule="atLeast"/>
        <w:jc w:val="both"/>
        <w:rPr>
          <w:b/>
          <w:bCs/>
          <w:color w:val="548DD4"/>
        </w:rPr>
      </w:pPr>
      <w:r>
        <w:rPr>
          <w:noProof/>
        </w:rPr>
        <w:drawing>
          <wp:inline distT="0" distB="0" distL="0" distR="0">
            <wp:extent cx="2286000" cy="13716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30FA9" w:rsidRDefault="00730FA9" w:rsidP="00730FA9">
      <w:pPr>
        <w:spacing w:before="120" w:after="120" w:line="360" w:lineRule="atLeast"/>
        <w:jc w:val="both"/>
        <w:rPr>
          <w:b/>
          <w:bCs/>
          <w:color w:val="548DD4"/>
        </w:rPr>
      </w:pPr>
    </w:p>
    <w:p w:rsidR="00217E1F" w:rsidRDefault="00217E1F" w:rsidP="00730FA9">
      <w:pPr>
        <w:spacing w:before="120" w:after="120" w:line="360" w:lineRule="atLeast"/>
        <w:jc w:val="both"/>
        <w:rPr>
          <w:b/>
          <w:bCs/>
          <w:color w:val="548DD4"/>
        </w:rPr>
      </w:pPr>
    </w:p>
    <w:p w:rsidR="00217E1F" w:rsidRDefault="00217E1F" w:rsidP="00730FA9">
      <w:pPr>
        <w:spacing w:before="120" w:after="120" w:line="360" w:lineRule="atLeast"/>
        <w:jc w:val="both"/>
        <w:rPr>
          <w:b/>
          <w:bCs/>
          <w:color w:val="548DD4"/>
        </w:rPr>
      </w:pPr>
    </w:p>
    <w:p w:rsidR="00217E1F" w:rsidRDefault="00217E1F" w:rsidP="00730FA9">
      <w:pPr>
        <w:spacing w:before="120" w:after="120" w:line="360" w:lineRule="atLeast"/>
        <w:jc w:val="both"/>
        <w:rPr>
          <w:b/>
          <w:bCs/>
          <w:color w:val="548DD4"/>
        </w:rPr>
      </w:pPr>
    </w:p>
    <w:p w:rsidR="00217E1F" w:rsidRDefault="00217E1F" w:rsidP="00730FA9">
      <w:pPr>
        <w:spacing w:before="120" w:after="120" w:line="360" w:lineRule="atLeast"/>
        <w:jc w:val="both"/>
        <w:rPr>
          <w:b/>
          <w:bCs/>
          <w:color w:val="548DD4"/>
        </w:rPr>
      </w:pPr>
    </w:p>
    <w:p w:rsidR="00217E1F" w:rsidRDefault="00217E1F" w:rsidP="00730FA9">
      <w:pPr>
        <w:spacing w:before="120" w:after="120" w:line="360" w:lineRule="atLeast"/>
        <w:jc w:val="both"/>
        <w:rPr>
          <w:b/>
          <w:bCs/>
          <w:color w:val="548DD4"/>
        </w:rPr>
      </w:pPr>
    </w:p>
    <w:p w:rsidR="005B4125" w:rsidRDefault="005B4125"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06225C" w:rsidRDefault="0006225C" w:rsidP="00730FA9">
      <w:pPr>
        <w:spacing w:before="120" w:after="120" w:line="360" w:lineRule="atLeast"/>
        <w:jc w:val="both"/>
        <w:rPr>
          <w:b/>
          <w:bCs/>
          <w:color w:val="548DD4"/>
        </w:rPr>
      </w:pPr>
    </w:p>
    <w:p w:rsidR="0006225C" w:rsidRDefault="0006225C" w:rsidP="00730FA9">
      <w:pPr>
        <w:spacing w:before="120" w:after="120" w:line="360" w:lineRule="atLeast"/>
        <w:jc w:val="both"/>
        <w:rPr>
          <w:b/>
          <w:bCs/>
          <w:color w:val="548DD4"/>
        </w:rPr>
      </w:pPr>
    </w:p>
    <w:p w:rsidR="0006225C" w:rsidRDefault="0006225C"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6F7003" w:rsidRPr="00A377E3" w:rsidRDefault="006F7003" w:rsidP="002815F5">
      <w:pPr>
        <w:pStyle w:val="Heading1"/>
      </w:pPr>
      <w:bookmarkStart w:id="9" w:name="_Toc91670360"/>
      <w:r w:rsidRPr="00A377E3">
        <w:t>CORE INFLATION</w:t>
      </w:r>
      <w:bookmarkEnd w:id="9"/>
    </w:p>
    <w:p w:rsidR="006F7003" w:rsidRPr="00A377E3" w:rsidRDefault="006F7003" w:rsidP="006F7003">
      <w:pPr>
        <w:jc w:val="both"/>
      </w:pPr>
      <w:r w:rsidRPr="00A377E3">
        <w:t xml:space="preserve">Core measure of inflation gives a more specific view of price changes. This method is used to analyze the inflationary developments cutting off the effects of eccentric factors, which may be seasonal or other specific cases. In this method, those components, which show abnormal changes in their price level, are ignored to put down their effects from the CPI. </w:t>
      </w:r>
    </w:p>
    <w:p w:rsidR="006F7003" w:rsidRPr="00A377E3" w:rsidRDefault="006F7003" w:rsidP="006F7003">
      <w:pPr>
        <w:jc w:val="both"/>
      </w:pPr>
      <w:r w:rsidRPr="00A377E3">
        <w:t xml:space="preserve">One of the most common methods of core inflation is </w:t>
      </w:r>
      <w:r w:rsidRPr="00A377E3">
        <w:rPr>
          <w:b/>
          <w:bCs/>
        </w:rPr>
        <w:t>trimmed mean</w:t>
      </w:r>
      <w:r w:rsidRPr="00A377E3">
        <w:t xml:space="preserve">. This measure is defined for a particular part of the CPI, and is calculated by taking the simple average of the index after excluding the targeted components. During July 2020, trimmed mean (30 % of CPI) decreased to 5.28 percent (year over year) from 5.99 percent observed in the previous month. </w:t>
      </w:r>
    </w:p>
    <w:p w:rsidR="006F7003" w:rsidRPr="00A377E3" w:rsidRDefault="006F7003" w:rsidP="006F7003">
      <w:pPr>
        <w:jc w:val="both"/>
      </w:pPr>
      <w:r w:rsidRPr="00A377E3">
        <w:t xml:space="preserve">Another core measure of inflation is the CPI excluding </w:t>
      </w:r>
      <w:r w:rsidRPr="00A377E3">
        <w:rPr>
          <w:b/>
          <w:bCs/>
        </w:rPr>
        <w:t>bread and cereals, oils and fats, and transportation</w:t>
      </w:r>
      <w:r w:rsidRPr="00A377E3">
        <w:t>, which increased to 5.23 percent compared to 4.61 percent recorded in the previous mon</w:t>
      </w:r>
      <w:r w:rsidR="005B4125">
        <w:t>th. Inflation by this measure in</w:t>
      </w:r>
      <w:r w:rsidRPr="00A377E3">
        <w:t>creased on month to month basis to -0.93 percent from -1.45 percent.</w:t>
      </w:r>
    </w:p>
    <w:p w:rsidR="006F7003" w:rsidRPr="00A377E3" w:rsidRDefault="006F7003" w:rsidP="006F7003">
      <w:pPr>
        <w:jc w:val="both"/>
      </w:pPr>
    </w:p>
    <w:p w:rsidR="00730FA9" w:rsidRPr="00A377E3" w:rsidRDefault="00730FA9" w:rsidP="00730FA9">
      <w:pPr>
        <w:spacing w:before="120" w:after="120" w:line="360" w:lineRule="atLeast"/>
        <w:jc w:val="both"/>
        <w:rPr>
          <w:b/>
          <w:bCs/>
        </w:rPr>
      </w:pPr>
    </w:p>
    <w:p w:rsidR="00730FA9" w:rsidRPr="00A377E3" w:rsidRDefault="00730FA9" w:rsidP="00730FA9">
      <w:pPr>
        <w:spacing w:before="120" w:after="120" w:line="360" w:lineRule="atLeast"/>
        <w:jc w:val="both"/>
        <w:rPr>
          <w:b/>
          <w:bCs/>
        </w:rPr>
      </w:pPr>
    </w:p>
    <w:p w:rsidR="00730FA9" w:rsidRPr="00A377E3" w:rsidRDefault="00730FA9" w:rsidP="00730FA9">
      <w:pPr>
        <w:spacing w:before="120" w:after="120" w:line="360" w:lineRule="atLeast"/>
        <w:jc w:val="both"/>
        <w:rPr>
          <w:b/>
          <w:bCs/>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07196A" w:rsidP="00730FA9">
      <w:pPr>
        <w:spacing w:before="120" w:after="120" w:line="360" w:lineRule="atLeast"/>
        <w:jc w:val="both"/>
        <w:rPr>
          <w:b/>
          <w:bCs/>
          <w:color w:val="548DD4"/>
        </w:rPr>
      </w:pPr>
      <w:r w:rsidRPr="0007196A">
        <w:rPr>
          <w:b/>
          <w:bCs/>
          <w:noProof/>
          <w:color w:val="548DD4"/>
        </w:rPr>
        <w:drawing>
          <wp:inline distT="0" distB="0" distL="0" distR="0">
            <wp:extent cx="2286000" cy="1371600"/>
            <wp:effectExtent l="0" t="0" r="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671560" w:rsidP="00730FA9">
      <w:pPr>
        <w:spacing w:before="120" w:after="120" w:line="360" w:lineRule="atLeast"/>
        <w:jc w:val="both"/>
        <w:rPr>
          <w:b/>
          <w:bCs/>
          <w:color w:val="548DD4"/>
        </w:rPr>
      </w:pPr>
      <w:r>
        <w:rPr>
          <w:noProof/>
        </w:rPr>
        <w:drawing>
          <wp:inline distT="0" distB="0" distL="0" distR="0">
            <wp:extent cx="2286000" cy="13716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730FA9" w:rsidRDefault="00730FA9" w:rsidP="00730FA9">
      <w:pPr>
        <w:spacing w:before="120" w:after="120" w:line="360" w:lineRule="atLeast"/>
        <w:jc w:val="both"/>
        <w:rPr>
          <w:b/>
          <w:bCs/>
          <w:color w:val="548DD4"/>
        </w:rPr>
      </w:pPr>
    </w:p>
    <w:p w:rsidR="00097E78" w:rsidRDefault="00097E78" w:rsidP="00730FA9">
      <w:pPr>
        <w:spacing w:before="120" w:after="120" w:line="240" w:lineRule="auto"/>
        <w:jc w:val="both"/>
        <w:rPr>
          <w:b/>
          <w:bCs/>
          <w:color w:val="548DD4"/>
        </w:rPr>
      </w:pPr>
    </w:p>
    <w:p w:rsidR="00097E78" w:rsidRDefault="00097E78" w:rsidP="00254209">
      <w:pPr>
        <w:spacing w:before="120" w:after="120" w:line="240" w:lineRule="auto"/>
        <w:jc w:val="both"/>
        <w:rPr>
          <w:b/>
          <w:bCs/>
          <w:color w:val="548DD4"/>
        </w:rPr>
      </w:pPr>
    </w:p>
    <w:p w:rsidR="00097E78" w:rsidRDefault="00097E78" w:rsidP="00254209">
      <w:pPr>
        <w:spacing w:before="120" w:after="120" w:line="240" w:lineRule="auto"/>
        <w:jc w:val="both"/>
        <w:rPr>
          <w:b/>
          <w:bCs/>
          <w:color w:val="548DD4"/>
        </w:rPr>
      </w:pPr>
    </w:p>
    <w:sectPr w:rsidR="00097E78" w:rsidSect="00AA1945">
      <w:pgSz w:w="12240" w:h="15840"/>
      <w:pgMar w:top="1440" w:right="1440" w:bottom="1440" w:left="1440" w:header="720" w:footer="720" w:gutter="0"/>
      <w:cols w:num="2" w:space="432" w:equalWidth="0">
        <w:col w:w="5616" w:space="432"/>
        <w:col w:w="331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AC8" w:rsidRDefault="00095AC8" w:rsidP="006929EB">
      <w:pPr>
        <w:spacing w:after="0" w:line="240" w:lineRule="auto"/>
      </w:pPr>
      <w:r>
        <w:separator/>
      </w:r>
    </w:p>
  </w:endnote>
  <w:endnote w:type="continuationSeparator" w:id="1">
    <w:p w:rsidR="00095AC8" w:rsidRDefault="00095AC8"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34" w:rsidRDefault="00F64334">
    <w:pPr>
      <w:pStyle w:val="Footer"/>
      <w:jc w:val="right"/>
    </w:pPr>
    <w:r>
      <w:t xml:space="preserve">Page | </w:t>
    </w:r>
    <w:r w:rsidR="002A09B2">
      <w:fldChar w:fldCharType="begin"/>
    </w:r>
    <w:r>
      <w:instrText xml:space="preserve"> PAGE   \* MERGEFORMAT </w:instrText>
    </w:r>
    <w:r w:rsidR="002A09B2">
      <w:fldChar w:fldCharType="separate"/>
    </w:r>
    <w:r w:rsidR="00BC1F88">
      <w:rPr>
        <w:noProof/>
      </w:rPr>
      <w:t>i</w:t>
    </w:r>
    <w:r w:rsidR="002A09B2">
      <w:rPr>
        <w:noProof/>
      </w:rPr>
      <w:fldChar w:fldCharType="end"/>
    </w:r>
  </w:p>
  <w:p w:rsidR="00F64334" w:rsidRDefault="00F64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AC8" w:rsidRDefault="00095AC8" w:rsidP="006929EB">
      <w:pPr>
        <w:spacing w:after="0" w:line="240" w:lineRule="auto"/>
      </w:pPr>
      <w:r>
        <w:separator/>
      </w:r>
    </w:p>
  </w:footnote>
  <w:footnote w:type="continuationSeparator" w:id="1">
    <w:p w:rsidR="00095AC8" w:rsidRDefault="00095AC8" w:rsidP="0069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16"/>
      <w:gridCol w:w="6774"/>
    </w:tblGrid>
    <w:tr w:rsidR="00F64334" w:rsidRPr="00F74A03" w:rsidTr="00F74A03">
      <w:tc>
        <w:tcPr>
          <w:tcW w:w="1468" w:type="pct"/>
          <w:tcBorders>
            <w:bottom w:val="single" w:sz="4" w:space="0" w:color="943634"/>
          </w:tcBorders>
          <w:shd w:val="clear" w:color="auto" w:fill="FFFFFF"/>
          <w:vAlign w:val="bottom"/>
        </w:tcPr>
        <w:p w:rsidR="00F64334" w:rsidRPr="00F74A03" w:rsidRDefault="00F64334">
          <w:pPr>
            <w:pStyle w:val="Header"/>
            <w:jc w:val="right"/>
            <w:rPr>
              <w:b/>
              <w:bCs/>
              <w:color w:val="17365D"/>
            </w:rPr>
          </w:pPr>
          <w:r w:rsidRPr="00F74A03">
            <w:rPr>
              <w:b/>
              <w:bCs/>
              <w:color w:val="17365D"/>
              <w:sz w:val="24"/>
              <w:szCs w:val="24"/>
              <w:shd w:val="clear" w:color="auto" w:fill="FFFFFF"/>
            </w:rPr>
            <w:t>Monthly Inflation Report</w:t>
          </w:r>
        </w:p>
      </w:tc>
      <w:tc>
        <w:tcPr>
          <w:tcW w:w="3532" w:type="pct"/>
          <w:tcBorders>
            <w:bottom w:val="single" w:sz="4" w:space="0" w:color="auto"/>
          </w:tcBorders>
          <w:shd w:val="clear" w:color="auto" w:fill="FFFFFF"/>
          <w:vAlign w:val="bottom"/>
        </w:tcPr>
        <w:p w:rsidR="007668B8" w:rsidRPr="007668B8" w:rsidRDefault="00F551B2" w:rsidP="007668B8">
          <w:pPr>
            <w:pStyle w:val="Header"/>
            <w:rPr>
              <w:color w:val="0070C0"/>
            </w:rPr>
          </w:pPr>
          <w:r>
            <w:rPr>
              <w:color w:val="0070C0"/>
            </w:rPr>
            <w:t>July</w:t>
          </w:r>
          <w:r w:rsidR="007668B8">
            <w:rPr>
              <w:color w:val="0070C0"/>
            </w:rPr>
            <w:t xml:space="preserve"> 2020</w:t>
          </w:r>
        </w:p>
      </w:tc>
    </w:tr>
  </w:tbl>
  <w:p w:rsidR="00F64334" w:rsidRPr="00CB56E4" w:rsidRDefault="00F64334" w:rsidP="00CB5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28CA"/>
    <w:multiLevelType w:val="hybridMultilevel"/>
    <w:tmpl w:val="2976E5FA"/>
    <w:lvl w:ilvl="0" w:tplc="FD7A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D6266"/>
    <w:multiLevelType w:val="hybridMultilevel"/>
    <w:tmpl w:val="605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Formatting/>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10A1"/>
    <w:rsid w:val="00001391"/>
    <w:rsid w:val="000016BE"/>
    <w:rsid w:val="00001DBB"/>
    <w:rsid w:val="00002EFC"/>
    <w:rsid w:val="00004694"/>
    <w:rsid w:val="00005326"/>
    <w:rsid w:val="00005484"/>
    <w:rsid w:val="00005675"/>
    <w:rsid w:val="00005D0D"/>
    <w:rsid w:val="00006D28"/>
    <w:rsid w:val="000070A3"/>
    <w:rsid w:val="000079A5"/>
    <w:rsid w:val="00007A50"/>
    <w:rsid w:val="00010C12"/>
    <w:rsid w:val="000118E9"/>
    <w:rsid w:val="00012DB9"/>
    <w:rsid w:val="00012FC5"/>
    <w:rsid w:val="00014FC9"/>
    <w:rsid w:val="00015071"/>
    <w:rsid w:val="00015072"/>
    <w:rsid w:val="00015125"/>
    <w:rsid w:val="000156FC"/>
    <w:rsid w:val="00016161"/>
    <w:rsid w:val="00016A5A"/>
    <w:rsid w:val="00020837"/>
    <w:rsid w:val="00021230"/>
    <w:rsid w:val="00021C5A"/>
    <w:rsid w:val="00022530"/>
    <w:rsid w:val="0002486B"/>
    <w:rsid w:val="00025681"/>
    <w:rsid w:val="00025777"/>
    <w:rsid w:val="00026FD5"/>
    <w:rsid w:val="00027916"/>
    <w:rsid w:val="000307FB"/>
    <w:rsid w:val="000308CE"/>
    <w:rsid w:val="0003106C"/>
    <w:rsid w:val="00031AB3"/>
    <w:rsid w:val="00032258"/>
    <w:rsid w:val="00032628"/>
    <w:rsid w:val="000328E0"/>
    <w:rsid w:val="00032B04"/>
    <w:rsid w:val="000339BF"/>
    <w:rsid w:val="000343CA"/>
    <w:rsid w:val="00034ABA"/>
    <w:rsid w:val="00035384"/>
    <w:rsid w:val="00035661"/>
    <w:rsid w:val="00040E7A"/>
    <w:rsid w:val="0004132A"/>
    <w:rsid w:val="00044646"/>
    <w:rsid w:val="000449C6"/>
    <w:rsid w:val="00044DFB"/>
    <w:rsid w:val="00045A5E"/>
    <w:rsid w:val="00046BB2"/>
    <w:rsid w:val="00046CA3"/>
    <w:rsid w:val="00047349"/>
    <w:rsid w:val="00050240"/>
    <w:rsid w:val="0005047D"/>
    <w:rsid w:val="00050C46"/>
    <w:rsid w:val="00050D0B"/>
    <w:rsid w:val="00050E51"/>
    <w:rsid w:val="00051571"/>
    <w:rsid w:val="0005182F"/>
    <w:rsid w:val="000534D2"/>
    <w:rsid w:val="0005473C"/>
    <w:rsid w:val="00054969"/>
    <w:rsid w:val="00055175"/>
    <w:rsid w:val="00055EED"/>
    <w:rsid w:val="00057034"/>
    <w:rsid w:val="00057492"/>
    <w:rsid w:val="000577F4"/>
    <w:rsid w:val="0006050D"/>
    <w:rsid w:val="00060B36"/>
    <w:rsid w:val="00061130"/>
    <w:rsid w:val="0006225C"/>
    <w:rsid w:val="000631BE"/>
    <w:rsid w:val="000639A9"/>
    <w:rsid w:val="00063EDE"/>
    <w:rsid w:val="000641D5"/>
    <w:rsid w:val="00064544"/>
    <w:rsid w:val="00064CFE"/>
    <w:rsid w:val="0006543E"/>
    <w:rsid w:val="000654A9"/>
    <w:rsid w:val="000655C2"/>
    <w:rsid w:val="00065788"/>
    <w:rsid w:val="000664D4"/>
    <w:rsid w:val="000677A7"/>
    <w:rsid w:val="0007196A"/>
    <w:rsid w:val="00071CAD"/>
    <w:rsid w:val="00072302"/>
    <w:rsid w:val="00073BCD"/>
    <w:rsid w:val="00074A09"/>
    <w:rsid w:val="000756EA"/>
    <w:rsid w:val="00075FF9"/>
    <w:rsid w:val="000763E5"/>
    <w:rsid w:val="00076A69"/>
    <w:rsid w:val="000770B5"/>
    <w:rsid w:val="000771D9"/>
    <w:rsid w:val="00080B78"/>
    <w:rsid w:val="00080CA2"/>
    <w:rsid w:val="000834E5"/>
    <w:rsid w:val="000841C0"/>
    <w:rsid w:val="000845C6"/>
    <w:rsid w:val="000845FE"/>
    <w:rsid w:val="00084A9D"/>
    <w:rsid w:val="00084AB0"/>
    <w:rsid w:val="00085198"/>
    <w:rsid w:val="00085AC0"/>
    <w:rsid w:val="0008636D"/>
    <w:rsid w:val="00086714"/>
    <w:rsid w:val="0008712B"/>
    <w:rsid w:val="000874FC"/>
    <w:rsid w:val="00087E1E"/>
    <w:rsid w:val="00090026"/>
    <w:rsid w:val="000904EF"/>
    <w:rsid w:val="00090DF8"/>
    <w:rsid w:val="000921E3"/>
    <w:rsid w:val="00092496"/>
    <w:rsid w:val="00092B8A"/>
    <w:rsid w:val="00093337"/>
    <w:rsid w:val="000944EF"/>
    <w:rsid w:val="00094A9E"/>
    <w:rsid w:val="00094B9B"/>
    <w:rsid w:val="00095447"/>
    <w:rsid w:val="00095AC8"/>
    <w:rsid w:val="0009739C"/>
    <w:rsid w:val="00097E78"/>
    <w:rsid w:val="000A0072"/>
    <w:rsid w:val="000A1E9C"/>
    <w:rsid w:val="000A30B1"/>
    <w:rsid w:val="000A35B2"/>
    <w:rsid w:val="000A58FA"/>
    <w:rsid w:val="000A66CB"/>
    <w:rsid w:val="000A7DA0"/>
    <w:rsid w:val="000A7F2A"/>
    <w:rsid w:val="000B0601"/>
    <w:rsid w:val="000B1EBB"/>
    <w:rsid w:val="000B38FD"/>
    <w:rsid w:val="000B59B6"/>
    <w:rsid w:val="000B61DB"/>
    <w:rsid w:val="000B6F4F"/>
    <w:rsid w:val="000B7014"/>
    <w:rsid w:val="000B7804"/>
    <w:rsid w:val="000C0123"/>
    <w:rsid w:val="000C0492"/>
    <w:rsid w:val="000C2911"/>
    <w:rsid w:val="000C4B9C"/>
    <w:rsid w:val="000C6D7A"/>
    <w:rsid w:val="000C7693"/>
    <w:rsid w:val="000D0F77"/>
    <w:rsid w:val="000D1339"/>
    <w:rsid w:val="000D16D3"/>
    <w:rsid w:val="000D2DE1"/>
    <w:rsid w:val="000D2F8F"/>
    <w:rsid w:val="000D38B1"/>
    <w:rsid w:val="000D4E90"/>
    <w:rsid w:val="000D5467"/>
    <w:rsid w:val="000D5BA5"/>
    <w:rsid w:val="000D5DCE"/>
    <w:rsid w:val="000D60FA"/>
    <w:rsid w:val="000D6D3E"/>
    <w:rsid w:val="000D7772"/>
    <w:rsid w:val="000D7784"/>
    <w:rsid w:val="000E05D4"/>
    <w:rsid w:val="000E0AAF"/>
    <w:rsid w:val="000E1BB0"/>
    <w:rsid w:val="000E26CA"/>
    <w:rsid w:val="000E34F1"/>
    <w:rsid w:val="000E4F2D"/>
    <w:rsid w:val="000E5407"/>
    <w:rsid w:val="000E59AD"/>
    <w:rsid w:val="000E5B3D"/>
    <w:rsid w:val="000E5C61"/>
    <w:rsid w:val="000E5C67"/>
    <w:rsid w:val="000E6C9C"/>
    <w:rsid w:val="000E6E45"/>
    <w:rsid w:val="000E7773"/>
    <w:rsid w:val="000F0B0A"/>
    <w:rsid w:val="000F0E19"/>
    <w:rsid w:val="000F2366"/>
    <w:rsid w:val="000F2490"/>
    <w:rsid w:val="000F2780"/>
    <w:rsid w:val="000F2ABB"/>
    <w:rsid w:val="000F3B82"/>
    <w:rsid w:val="000F4DAA"/>
    <w:rsid w:val="000F5E9F"/>
    <w:rsid w:val="000F6795"/>
    <w:rsid w:val="000F697F"/>
    <w:rsid w:val="000F7357"/>
    <w:rsid w:val="00100F1B"/>
    <w:rsid w:val="00101280"/>
    <w:rsid w:val="001018A9"/>
    <w:rsid w:val="00102B95"/>
    <w:rsid w:val="00103844"/>
    <w:rsid w:val="00103BB6"/>
    <w:rsid w:val="001040DD"/>
    <w:rsid w:val="00105C60"/>
    <w:rsid w:val="00107AEC"/>
    <w:rsid w:val="00110C5A"/>
    <w:rsid w:val="00111053"/>
    <w:rsid w:val="001122B1"/>
    <w:rsid w:val="001135F6"/>
    <w:rsid w:val="00113AA8"/>
    <w:rsid w:val="00113BB0"/>
    <w:rsid w:val="00114369"/>
    <w:rsid w:val="00114E61"/>
    <w:rsid w:val="00115403"/>
    <w:rsid w:val="0011559B"/>
    <w:rsid w:val="00116E43"/>
    <w:rsid w:val="00116EBB"/>
    <w:rsid w:val="001200A5"/>
    <w:rsid w:val="00120C38"/>
    <w:rsid w:val="00121402"/>
    <w:rsid w:val="0012162D"/>
    <w:rsid w:val="00121B88"/>
    <w:rsid w:val="00121D12"/>
    <w:rsid w:val="001230AA"/>
    <w:rsid w:val="001230DA"/>
    <w:rsid w:val="00123865"/>
    <w:rsid w:val="00123AB9"/>
    <w:rsid w:val="0012427D"/>
    <w:rsid w:val="00124384"/>
    <w:rsid w:val="00125008"/>
    <w:rsid w:val="001254B0"/>
    <w:rsid w:val="00125671"/>
    <w:rsid w:val="001257FA"/>
    <w:rsid w:val="0012589E"/>
    <w:rsid w:val="00125F9E"/>
    <w:rsid w:val="00125FC7"/>
    <w:rsid w:val="0012611A"/>
    <w:rsid w:val="00127424"/>
    <w:rsid w:val="001309B1"/>
    <w:rsid w:val="00130A6B"/>
    <w:rsid w:val="00130C37"/>
    <w:rsid w:val="00131DAC"/>
    <w:rsid w:val="00132853"/>
    <w:rsid w:val="00132E30"/>
    <w:rsid w:val="001343FF"/>
    <w:rsid w:val="00136333"/>
    <w:rsid w:val="00136774"/>
    <w:rsid w:val="00136AAF"/>
    <w:rsid w:val="00140404"/>
    <w:rsid w:val="001405DD"/>
    <w:rsid w:val="00141019"/>
    <w:rsid w:val="0014241C"/>
    <w:rsid w:val="00142490"/>
    <w:rsid w:val="00142790"/>
    <w:rsid w:val="00142B86"/>
    <w:rsid w:val="00142EE6"/>
    <w:rsid w:val="0014307E"/>
    <w:rsid w:val="001437A8"/>
    <w:rsid w:val="00143D15"/>
    <w:rsid w:val="00146048"/>
    <w:rsid w:val="001460AF"/>
    <w:rsid w:val="001474EE"/>
    <w:rsid w:val="00147A6F"/>
    <w:rsid w:val="00147EC1"/>
    <w:rsid w:val="00147F47"/>
    <w:rsid w:val="00150893"/>
    <w:rsid w:val="00150F90"/>
    <w:rsid w:val="00151A98"/>
    <w:rsid w:val="00151FAB"/>
    <w:rsid w:val="001529C5"/>
    <w:rsid w:val="00152EC0"/>
    <w:rsid w:val="00154060"/>
    <w:rsid w:val="001549B6"/>
    <w:rsid w:val="001549FB"/>
    <w:rsid w:val="00155691"/>
    <w:rsid w:val="0015663E"/>
    <w:rsid w:val="00160541"/>
    <w:rsid w:val="00161A1D"/>
    <w:rsid w:val="00163065"/>
    <w:rsid w:val="00164215"/>
    <w:rsid w:val="001649FF"/>
    <w:rsid w:val="00164C8F"/>
    <w:rsid w:val="001653A0"/>
    <w:rsid w:val="001656A0"/>
    <w:rsid w:val="001661EC"/>
    <w:rsid w:val="0016700C"/>
    <w:rsid w:val="00167274"/>
    <w:rsid w:val="00167720"/>
    <w:rsid w:val="001707D9"/>
    <w:rsid w:val="00170F0F"/>
    <w:rsid w:val="00172BF2"/>
    <w:rsid w:val="00173599"/>
    <w:rsid w:val="001735A6"/>
    <w:rsid w:val="001744C3"/>
    <w:rsid w:val="00175171"/>
    <w:rsid w:val="00175383"/>
    <w:rsid w:val="001767C5"/>
    <w:rsid w:val="00180D66"/>
    <w:rsid w:val="0018157A"/>
    <w:rsid w:val="001818B4"/>
    <w:rsid w:val="00181A58"/>
    <w:rsid w:val="001822FA"/>
    <w:rsid w:val="00182760"/>
    <w:rsid w:val="0018312F"/>
    <w:rsid w:val="00183BCE"/>
    <w:rsid w:val="0018470B"/>
    <w:rsid w:val="00184A5C"/>
    <w:rsid w:val="001852CC"/>
    <w:rsid w:val="0018767C"/>
    <w:rsid w:val="00187FC5"/>
    <w:rsid w:val="00191D0B"/>
    <w:rsid w:val="0019205B"/>
    <w:rsid w:val="00192768"/>
    <w:rsid w:val="00192C10"/>
    <w:rsid w:val="00192DBC"/>
    <w:rsid w:val="0019348D"/>
    <w:rsid w:val="00193680"/>
    <w:rsid w:val="001940D4"/>
    <w:rsid w:val="00194DA4"/>
    <w:rsid w:val="00195805"/>
    <w:rsid w:val="00195FF3"/>
    <w:rsid w:val="001969D2"/>
    <w:rsid w:val="00196C05"/>
    <w:rsid w:val="001976A9"/>
    <w:rsid w:val="00197A16"/>
    <w:rsid w:val="001A15C2"/>
    <w:rsid w:val="001A1F34"/>
    <w:rsid w:val="001A41D0"/>
    <w:rsid w:val="001A701B"/>
    <w:rsid w:val="001A790A"/>
    <w:rsid w:val="001B021B"/>
    <w:rsid w:val="001B128F"/>
    <w:rsid w:val="001B133D"/>
    <w:rsid w:val="001B16F0"/>
    <w:rsid w:val="001B1AC4"/>
    <w:rsid w:val="001B1B61"/>
    <w:rsid w:val="001B1BCB"/>
    <w:rsid w:val="001B2B60"/>
    <w:rsid w:val="001B3718"/>
    <w:rsid w:val="001B3AEB"/>
    <w:rsid w:val="001B53FD"/>
    <w:rsid w:val="001B7F92"/>
    <w:rsid w:val="001C0713"/>
    <w:rsid w:val="001C08B7"/>
    <w:rsid w:val="001C0CE3"/>
    <w:rsid w:val="001C0DC5"/>
    <w:rsid w:val="001C15A8"/>
    <w:rsid w:val="001C1FEE"/>
    <w:rsid w:val="001C3047"/>
    <w:rsid w:val="001C3904"/>
    <w:rsid w:val="001C3EF9"/>
    <w:rsid w:val="001C4050"/>
    <w:rsid w:val="001C4DA5"/>
    <w:rsid w:val="001C4DBF"/>
    <w:rsid w:val="001C67A3"/>
    <w:rsid w:val="001D2850"/>
    <w:rsid w:val="001D358C"/>
    <w:rsid w:val="001D4F4C"/>
    <w:rsid w:val="001D51F6"/>
    <w:rsid w:val="001D5326"/>
    <w:rsid w:val="001D5699"/>
    <w:rsid w:val="001D5BD2"/>
    <w:rsid w:val="001D5C83"/>
    <w:rsid w:val="001D6628"/>
    <w:rsid w:val="001D79C5"/>
    <w:rsid w:val="001D7A78"/>
    <w:rsid w:val="001D7B66"/>
    <w:rsid w:val="001D7E3C"/>
    <w:rsid w:val="001E0C75"/>
    <w:rsid w:val="001E1089"/>
    <w:rsid w:val="001E145E"/>
    <w:rsid w:val="001E1906"/>
    <w:rsid w:val="001E1D47"/>
    <w:rsid w:val="001E4770"/>
    <w:rsid w:val="001E4E7B"/>
    <w:rsid w:val="001E4FC5"/>
    <w:rsid w:val="001E6515"/>
    <w:rsid w:val="001E689A"/>
    <w:rsid w:val="001E6987"/>
    <w:rsid w:val="001E6EBD"/>
    <w:rsid w:val="001E6F21"/>
    <w:rsid w:val="001E7428"/>
    <w:rsid w:val="001F1CB5"/>
    <w:rsid w:val="001F1E46"/>
    <w:rsid w:val="001F579C"/>
    <w:rsid w:val="001F5DD2"/>
    <w:rsid w:val="001F5EF1"/>
    <w:rsid w:val="001F6C84"/>
    <w:rsid w:val="001F7482"/>
    <w:rsid w:val="001F7E07"/>
    <w:rsid w:val="002015CB"/>
    <w:rsid w:val="00201A7B"/>
    <w:rsid w:val="002046E0"/>
    <w:rsid w:val="002048AF"/>
    <w:rsid w:val="00205008"/>
    <w:rsid w:val="00206309"/>
    <w:rsid w:val="002064D4"/>
    <w:rsid w:val="00206DEE"/>
    <w:rsid w:val="00207592"/>
    <w:rsid w:val="002123ED"/>
    <w:rsid w:val="00212DDD"/>
    <w:rsid w:val="002134B7"/>
    <w:rsid w:val="00214203"/>
    <w:rsid w:val="00215224"/>
    <w:rsid w:val="00216BE4"/>
    <w:rsid w:val="00216C1B"/>
    <w:rsid w:val="00217DD2"/>
    <w:rsid w:val="00217E1F"/>
    <w:rsid w:val="0022033D"/>
    <w:rsid w:val="00221275"/>
    <w:rsid w:val="00221501"/>
    <w:rsid w:val="00222FC7"/>
    <w:rsid w:val="00223090"/>
    <w:rsid w:val="002245CB"/>
    <w:rsid w:val="00224C65"/>
    <w:rsid w:val="0022570A"/>
    <w:rsid w:val="00225A78"/>
    <w:rsid w:val="00225EE7"/>
    <w:rsid w:val="00226456"/>
    <w:rsid w:val="00226EC9"/>
    <w:rsid w:val="00230753"/>
    <w:rsid w:val="0023417C"/>
    <w:rsid w:val="00234FC8"/>
    <w:rsid w:val="0023583D"/>
    <w:rsid w:val="00235A33"/>
    <w:rsid w:val="00236786"/>
    <w:rsid w:val="00236B27"/>
    <w:rsid w:val="00236BCD"/>
    <w:rsid w:val="00237567"/>
    <w:rsid w:val="0024067D"/>
    <w:rsid w:val="00241E72"/>
    <w:rsid w:val="00243728"/>
    <w:rsid w:val="00245849"/>
    <w:rsid w:val="002458A2"/>
    <w:rsid w:val="002467D7"/>
    <w:rsid w:val="00250A6A"/>
    <w:rsid w:val="00251445"/>
    <w:rsid w:val="002518EB"/>
    <w:rsid w:val="00251DF1"/>
    <w:rsid w:val="00252069"/>
    <w:rsid w:val="00252149"/>
    <w:rsid w:val="00252AD8"/>
    <w:rsid w:val="00252D59"/>
    <w:rsid w:val="0025355C"/>
    <w:rsid w:val="002541E0"/>
    <w:rsid w:val="00254209"/>
    <w:rsid w:val="00254215"/>
    <w:rsid w:val="00254244"/>
    <w:rsid w:val="00255776"/>
    <w:rsid w:val="00256F34"/>
    <w:rsid w:val="00257CC8"/>
    <w:rsid w:val="00261818"/>
    <w:rsid w:val="0026225C"/>
    <w:rsid w:val="00262D13"/>
    <w:rsid w:val="00263047"/>
    <w:rsid w:val="00263616"/>
    <w:rsid w:val="00264A86"/>
    <w:rsid w:val="00264D77"/>
    <w:rsid w:val="0026538C"/>
    <w:rsid w:val="002672EF"/>
    <w:rsid w:val="00267714"/>
    <w:rsid w:val="002701D6"/>
    <w:rsid w:val="002701F3"/>
    <w:rsid w:val="002708B8"/>
    <w:rsid w:val="00270CDE"/>
    <w:rsid w:val="002714F3"/>
    <w:rsid w:val="002714FA"/>
    <w:rsid w:val="00272821"/>
    <w:rsid w:val="00272B9C"/>
    <w:rsid w:val="00273198"/>
    <w:rsid w:val="00273F38"/>
    <w:rsid w:val="002749CA"/>
    <w:rsid w:val="00274A68"/>
    <w:rsid w:val="00274BBB"/>
    <w:rsid w:val="002758A0"/>
    <w:rsid w:val="002759B2"/>
    <w:rsid w:val="002772EE"/>
    <w:rsid w:val="002779D3"/>
    <w:rsid w:val="00277A1B"/>
    <w:rsid w:val="00277A33"/>
    <w:rsid w:val="002815F5"/>
    <w:rsid w:val="0028195D"/>
    <w:rsid w:val="00281F0D"/>
    <w:rsid w:val="00282246"/>
    <w:rsid w:val="00282348"/>
    <w:rsid w:val="00282676"/>
    <w:rsid w:val="00283CA8"/>
    <w:rsid w:val="00284F77"/>
    <w:rsid w:val="0028538E"/>
    <w:rsid w:val="00286318"/>
    <w:rsid w:val="002863D4"/>
    <w:rsid w:val="00286AFC"/>
    <w:rsid w:val="00286B27"/>
    <w:rsid w:val="00286C1A"/>
    <w:rsid w:val="00287446"/>
    <w:rsid w:val="00287B5E"/>
    <w:rsid w:val="00290FFB"/>
    <w:rsid w:val="00291C16"/>
    <w:rsid w:val="00292E10"/>
    <w:rsid w:val="002939C6"/>
    <w:rsid w:val="0029435E"/>
    <w:rsid w:val="0029482B"/>
    <w:rsid w:val="002956D8"/>
    <w:rsid w:val="0029592B"/>
    <w:rsid w:val="0029593A"/>
    <w:rsid w:val="00295FA2"/>
    <w:rsid w:val="00296C39"/>
    <w:rsid w:val="002975D8"/>
    <w:rsid w:val="002A0071"/>
    <w:rsid w:val="002A03C8"/>
    <w:rsid w:val="002A09B2"/>
    <w:rsid w:val="002A1440"/>
    <w:rsid w:val="002A28FA"/>
    <w:rsid w:val="002A3305"/>
    <w:rsid w:val="002A3EDF"/>
    <w:rsid w:val="002A4065"/>
    <w:rsid w:val="002A4EE4"/>
    <w:rsid w:val="002A4FBB"/>
    <w:rsid w:val="002A51BF"/>
    <w:rsid w:val="002A6E85"/>
    <w:rsid w:val="002A702A"/>
    <w:rsid w:val="002A7D12"/>
    <w:rsid w:val="002B0EA7"/>
    <w:rsid w:val="002B1D4D"/>
    <w:rsid w:val="002B1D6E"/>
    <w:rsid w:val="002B2D32"/>
    <w:rsid w:val="002B4A3B"/>
    <w:rsid w:val="002B6A51"/>
    <w:rsid w:val="002B720F"/>
    <w:rsid w:val="002B750A"/>
    <w:rsid w:val="002B7FC3"/>
    <w:rsid w:val="002C035B"/>
    <w:rsid w:val="002C0B31"/>
    <w:rsid w:val="002C0E39"/>
    <w:rsid w:val="002C0E56"/>
    <w:rsid w:val="002C0E9B"/>
    <w:rsid w:val="002C0F25"/>
    <w:rsid w:val="002C1128"/>
    <w:rsid w:val="002C1723"/>
    <w:rsid w:val="002C1B19"/>
    <w:rsid w:val="002C32A2"/>
    <w:rsid w:val="002C558D"/>
    <w:rsid w:val="002C5607"/>
    <w:rsid w:val="002C6D47"/>
    <w:rsid w:val="002C7E26"/>
    <w:rsid w:val="002C7EAD"/>
    <w:rsid w:val="002D053B"/>
    <w:rsid w:val="002D0593"/>
    <w:rsid w:val="002D3496"/>
    <w:rsid w:val="002D3770"/>
    <w:rsid w:val="002D438B"/>
    <w:rsid w:val="002D472B"/>
    <w:rsid w:val="002D5022"/>
    <w:rsid w:val="002D54D7"/>
    <w:rsid w:val="002D64AF"/>
    <w:rsid w:val="002D6D24"/>
    <w:rsid w:val="002E0B8E"/>
    <w:rsid w:val="002E232B"/>
    <w:rsid w:val="002E2F9A"/>
    <w:rsid w:val="002E3FB9"/>
    <w:rsid w:val="002E4847"/>
    <w:rsid w:val="002E5BB9"/>
    <w:rsid w:val="002E5E92"/>
    <w:rsid w:val="002E5FB8"/>
    <w:rsid w:val="002E6763"/>
    <w:rsid w:val="002E77B0"/>
    <w:rsid w:val="002E78A2"/>
    <w:rsid w:val="002F091D"/>
    <w:rsid w:val="002F1448"/>
    <w:rsid w:val="002F2AC8"/>
    <w:rsid w:val="002F33C5"/>
    <w:rsid w:val="002F3A76"/>
    <w:rsid w:val="002F3B57"/>
    <w:rsid w:val="002F4565"/>
    <w:rsid w:val="002F58EC"/>
    <w:rsid w:val="002F6225"/>
    <w:rsid w:val="002F7004"/>
    <w:rsid w:val="002F70C4"/>
    <w:rsid w:val="002F789F"/>
    <w:rsid w:val="00300E1F"/>
    <w:rsid w:val="00301EE8"/>
    <w:rsid w:val="003028F4"/>
    <w:rsid w:val="00302D1D"/>
    <w:rsid w:val="003031D7"/>
    <w:rsid w:val="00303DC2"/>
    <w:rsid w:val="00304681"/>
    <w:rsid w:val="00304C9F"/>
    <w:rsid w:val="003050EA"/>
    <w:rsid w:val="00305294"/>
    <w:rsid w:val="00305CD5"/>
    <w:rsid w:val="00306635"/>
    <w:rsid w:val="00306D4D"/>
    <w:rsid w:val="00306EB0"/>
    <w:rsid w:val="003072F1"/>
    <w:rsid w:val="00310ED9"/>
    <w:rsid w:val="003110E2"/>
    <w:rsid w:val="00311FAB"/>
    <w:rsid w:val="0031299A"/>
    <w:rsid w:val="003140FB"/>
    <w:rsid w:val="003148FE"/>
    <w:rsid w:val="00314FBF"/>
    <w:rsid w:val="00317C3E"/>
    <w:rsid w:val="00320214"/>
    <w:rsid w:val="0032069B"/>
    <w:rsid w:val="00320FF5"/>
    <w:rsid w:val="003215D2"/>
    <w:rsid w:val="00321659"/>
    <w:rsid w:val="003219E1"/>
    <w:rsid w:val="00321FF8"/>
    <w:rsid w:val="00322DAE"/>
    <w:rsid w:val="00323F2A"/>
    <w:rsid w:val="00324468"/>
    <w:rsid w:val="00326AF4"/>
    <w:rsid w:val="0033024F"/>
    <w:rsid w:val="00331059"/>
    <w:rsid w:val="003326BD"/>
    <w:rsid w:val="00332710"/>
    <w:rsid w:val="00332F7C"/>
    <w:rsid w:val="00333333"/>
    <w:rsid w:val="00333654"/>
    <w:rsid w:val="003337FD"/>
    <w:rsid w:val="003342BC"/>
    <w:rsid w:val="00334BC0"/>
    <w:rsid w:val="00334FE3"/>
    <w:rsid w:val="003351A3"/>
    <w:rsid w:val="00335BE9"/>
    <w:rsid w:val="00335F0F"/>
    <w:rsid w:val="003376AE"/>
    <w:rsid w:val="00340BD1"/>
    <w:rsid w:val="003417FF"/>
    <w:rsid w:val="00341DFE"/>
    <w:rsid w:val="00344850"/>
    <w:rsid w:val="00344B6F"/>
    <w:rsid w:val="00344C36"/>
    <w:rsid w:val="00345683"/>
    <w:rsid w:val="003461EA"/>
    <w:rsid w:val="00346E33"/>
    <w:rsid w:val="00346FE6"/>
    <w:rsid w:val="00347099"/>
    <w:rsid w:val="00347937"/>
    <w:rsid w:val="00350432"/>
    <w:rsid w:val="0035134C"/>
    <w:rsid w:val="0035164C"/>
    <w:rsid w:val="00351C13"/>
    <w:rsid w:val="00351CB3"/>
    <w:rsid w:val="00352169"/>
    <w:rsid w:val="0035342C"/>
    <w:rsid w:val="003535B8"/>
    <w:rsid w:val="00354799"/>
    <w:rsid w:val="00354961"/>
    <w:rsid w:val="00355C3E"/>
    <w:rsid w:val="00355E97"/>
    <w:rsid w:val="00356291"/>
    <w:rsid w:val="00356DAF"/>
    <w:rsid w:val="00357F8B"/>
    <w:rsid w:val="003602D7"/>
    <w:rsid w:val="00360D9F"/>
    <w:rsid w:val="00360EE7"/>
    <w:rsid w:val="00361380"/>
    <w:rsid w:val="00361F0B"/>
    <w:rsid w:val="00362DA3"/>
    <w:rsid w:val="003632B5"/>
    <w:rsid w:val="0036453D"/>
    <w:rsid w:val="00364B8A"/>
    <w:rsid w:val="00364E74"/>
    <w:rsid w:val="00365551"/>
    <w:rsid w:val="00366426"/>
    <w:rsid w:val="0036766A"/>
    <w:rsid w:val="003678EA"/>
    <w:rsid w:val="00367C64"/>
    <w:rsid w:val="00367F94"/>
    <w:rsid w:val="003703A8"/>
    <w:rsid w:val="003714B6"/>
    <w:rsid w:val="00371509"/>
    <w:rsid w:val="003722A8"/>
    <w:rsid w:val="003723F8"/>
    <w:rsid w:val="0037283C"/>
    <w:rsid w:val="00372964"/>
    <w:rsid w:val="00372C5E"/>
    <w:rsid w:val="00373750"/>
    <w:rsid w:val="00374636"/>
    <w:rsid w:val="00374828"/>
    <w:rsid w:val="0037488E"/>
    <w:rsid w:val="00374A0E"/>
    <w:rsid w:val="00374A11"/>
    <w:rsid w:val="00374A9A"/>
    <w:rsid w:val="0037584B"/>
    <w:rsid w:val="003759C9"/>
    <w:rsid w:val="0037758A"/>
    <w:rsid w:val="003776BF"/>
    <w:rsid w:val="00377BCC"/>
    <w:rsid w:val="00380CFC"/>
    <w:rsid w:val="00380DEF"/>
    <w:rsid w:val="003813E6"/>
    <w:rsid w:val="003814C0"/>
    <w:rsid w:val="00382D0B"/>
    <w:rsid w:val="00383506"/>
    <w:rsid w:val="00383739"/>
    <w:rsid w:val="003838AC"/>
    <w:rsid w:val="00383FBE"/>
    <w:rsid w:val="003848AC"/>
    <w:rsid w:val="003852B4"/>
    <w:rsid w:val="0038578D"/>
    <w:rsid w:val="00386D77"/>
    <w:rsid w:val="00387213"/>
    <w:rsid w:val="00387AE6"/>
    <w:rsid w:val="00387D20"/>
    <w:rsid w:val="00391043"/>
    <w:rsid w:val="003918C8"/>
    <w:rsid w:val="00391A76"/>
    <w:rsid w:val="00391AF4"/>
    <w:rsid w:val="003920DD"/>
    <w:rsid w:val="00392999"/>
    <w:rsid w:val="00392A62"/>
    <w:rsid w:val="0039443F"/>
    <w:rsid w:val="00395CEB"/>
    <w:rsid w:val="003970A0"/>
    <w:rsid w:val="00397337"/>
    <w:rsid w:val="00397C2C"/>
    <w:rsid w:val="00397CEC"/>
    <w:rsid w:val="003A0EAE"/>
    <w:rsid w:val="003A0F65"/>
    <w:rsid w:val="003A11E5"/>
    <w:rsid w:val="003A1337"/>
    <w:rsid w:val="003A14EA"/>
    <w:rsid w:val="003A1527"/>
    <w:rsid w:val="003A179D"/>
    <w:rsid w:val="003A2258"/>
    <w:rsid w:val="003A26F2"/>
    <w:rsid w:val="003A47CD"/>
    <w:rsid w:val="003A4922"/>
    <w:rsid w:val="003A6E10"/>
    <w:rsid w:val="003A72D6"/>
    <w:rsid w:val="003A7644"/>
    <w:rsid w:val="003A7CE5"/>
    <w:rsid w:val="003B058C"/>
    <w:rsid w:val="003B0BA8"/>
    <w:rsid w:val="003B0E3E"/>
    <w:rsid w:val="003B1B1F"/>
    <w:rsid w:val="003B2B62"/>
    <w:rsid w:val="003B423E"/>
    <w:rsid w:val="003B53AE"/>
    <w:rsid w:val="003B6441"/>
    <w:rsid w:val="003B66CD"/>
    <w:rsid w:val="003B6D7D"/>
    <w:rsid w:val="003B74C2"/>
    <w:rsid w:val="003B7D12"/>
    <w:rsid w:val="003B7D26"/>
    <w:rsid w:val="003C0AAB"/>
    <w:rsid w:val="003C0E8B"/>
    <w:rsid w:val="003C153C"/>
    <w:rsid w:val="003C15DF"/>
    <w:rsid w:val="003C28FC"/>
    <w:rsid w:val="003C311E"/>
    <w:rsid w:val="003C3922"/>
    <w:rsid w:val="003C3A91"/>
    <w:rsid w:val="003C3C33"/>
    <w:rsid w:val="003C4BC5"/>
    <w:rsid w:val="003C4D0B"/>
    <w:rsid w:val="003C56F9"/>
    <w:rsid w:val="003C5AED"/>
    <w:rsid w:val="003C621B"/>
    <w:rsid w:val="003C70CE"/>
    <w:rsid w:val="003C78A1"/>
    <w:rsid w:val="003C7ADC"/>
    <w:rsid w:val="003D010C"/>
    <w:rsid w:val="003D0420"/>
    <w:rsid w:val="003D3DE7"/>
    <w:rsid w:val="003D4221"/>
    <w:rsid w:val="003D511F"/>
    <w:rsid w:val="003D58A9"/>
    <w:rsid w:val="003D5D86"/>
    <w:rsid w:val="003D6715"/>
    <w:rsid w:val="003D787D"/>
    <w:rsid w:val="003E05B4"/>
    <w:rsid w:val="003E0C4B"/>
    <w:rsid w:val="003E117D"/>
    <w:rsid w:val="003E13F0"/>
    <w:rsid w:val="003E1576"/>
    <w:rsid w:val="003E1DBE"/>
    <w:rsid w:val="003E2746"/>
    <w:rsid w:val="003E4380"/>
    <w:rsid w:val="003E495F"/>
    <w:rsid w:val="003E4E11"/>
    <w:rsid w:val="003E5B15"/>
    <w:rsid w:val="003E6A0D"/>
    <w:rsid w:val="003E716D"/>
    <w:rsid w:val="003E79AF"/>
    <w:rsid w:val="003F026C"/>
    <w:rsid w:val="003F0473"/>
    <w:rsid w:val="003F11CF"/>
    <w:rsid w:val="003F1518"/>
    <w:rsid w:val="003F1F73"/>
    <w:rsid w:val="003F2E62"/>
    <w:rsid w:val="003F2FFE"/>
    <w:rsid w:val="003F36D4"/>
    <w:rsid w:val="003F40FA"/>
    <w:rsid w:val="003F468B"/>
    <w:rsid w:val="003F5617"/>
    <w:rsid w:val="003F565A"/>
    <w:rsid w:val="003F68ED"/>
    <w:rsid w:val="003F710D"/>
    <w:rsid w:val="003F77F4"/>
    <w:rsid w:val="00400444"/>
    <w:rsid w:val="00400522"/>
    <w:rsid w:val="00400A01"/>
    <w:rsid w:val="0040411C"/>
    <w:rsid w:val="00404AA6"/>
    <w:rsid w:val="00404B16"/>
    <w:rsid w:val="00404D48"/>
    <w:rsid w:val="004077CC"/>
    <w:rsid w:val="00410EAD"/>
    <w:rsid w:val="00410FC3"/>
    <w:rsid w:val="00411CE2"/>
    <w:rsid w:val="00412C74"/>
    <w:rsid w:val="00412DDB"/>
    <w:rsid w:val="00413CA4"/>
    <w:rsid w:val="004145F3"/>
    <w:rsid w:val="0041520B"/>
    <w:rsid w:val="0041553A"/>
    <w:rsid w:val="00415661"/>
    <w:rsid w:val="004162D5"/>
    <w:rsid w:val="00417680"/>
    <w:rsid w:val="0041786E"/>
    <w:rsid w:val="00420369"/>
    <w:rsid w:val="004204B7"/>
    <w:rsid w:val="00420645"/>
    <w:rsid w:val="004234AA"/>
    <w:rsid w:val="00424DE9"/>
    <w:rsid w:val="0042541B"/>
    <w:rsid w:val="00426476"/>
    <w:rsid w:val="004278A4"/>
    <w:rsid w:val="004305A4"/>
    <w:rsid w:val="0043062B"/>
    <w:rsid w:val="00432D22"/>
    <w:rsid w:val="004334FB"/>
    <w:rsid w:val="00433504"/>
    <w:rsid w:val="0043366C"/>
    <w:rsid w:val="00433743"/>
    <w:rsid w:val="0043381D"/>
    <w:rsid w:val="00433BDE"/>
    <w:rsid w:val="00434AD7"/>
    <w:rsid w:val="00434AFE"/>
    <w:rsid w:val="00434FA8"/>
    <w:rsid w:val="004357A4"/>
    <w:rsid w:val="00435BBC"/>
    <w:rsid w:val="00435F0D"/>
    <w:rsid w:val="00436387"/>
    <w:rsid w:val="00440106"/>
    <w:rsid w:val="00440574"/>
    <w:rsid w:val="00440799"/>
    <w:rsid w:val="00440A44"/>
    <w:rsid w:val="004412D4"/>
    <w:rsid w:val="00441634"/>
    <w:rsid w:val="00442876"/>
    <w:rsid w:val="0044323E"/>
    <w:rsid w:val="00443CD4"/>
    <w:rsid w:val="004475E7"/>
    <w:rsid w:val="004475F3"/>
    <w:rsid w:val="004500A7"/>
    <w:rsid w:val="00450D05"/>
    <w:rsid w:val="004514CF"/>
    <w:rsid w:val="004516CA"/>
    <w:rsid w:val="0045252C"/>
    <w:rsid w:val="004528AC"/>
    <w:rsid w:val="00453115"/>
    <w:rsid w:val="0045312A"/>
    <w:rsid w:val="00453DE0"/>
    <w:rsid w:val="0045457E"/>
    <w:rsid w:val="00455652"/>
    <w:rsid w:val="00455E43"/>
    <w:rsid w:val="00456F74"/>
    <w:rsid w:val="00460D65"/>
    <w:rsid w:val="004613E4"/>
    <w:rsid w:val="00461744"/>
    <w:rsid w:val="00463890"/>
    <w:rsid w:val="004642E2"/>
    <w:rsid w:val="00465669"/>
    <w:rsid w:val="00466242"/>
    <w:rsid w:val="00466298"/>
    <w:rsid w:val="0046658B"/>
    <w:rsid w:val="00466DFF"/>
    <w:rsid w:val="00467147"/>
    <w:rsid w:val="0046779A"/>
    <w:rsid w:val="00470E5E"/>
    <w:rsid w:val="00471AB6"/>
    <w:rsid w:val="00472559"/>
    <w:rsid w:val="00472AEB"/>
    <w:rsid w:val="00472D0E"/>
    <w:rsid w:val="00473131"/>
    <w:rsid w:val="00473800"/>
    <w:rsid w:val="0047453A"/>
    <w:rsid w:val="0047482E"/>
    <w:rsid w:val="00474927"/>
    <w:rsid w:val="00475772"/>
    <w:rsid w:val="00475AF8"/>
    <w:rsid w:val="00476F1E"/>
    <w:rsid w:val="004800ED"/>
    <w:rsid w:val="00481562"/>
    <w:rsid w:val="004816D8"/>
    <w:rsid w:val="00481BFA"/>
    <w:rsid w:val="00483228"/>
    <w:rsid w:val="004843E6"/>
    <w:rsid w:val="0048498D"/>
    <w:rsid w:val="0048556A"/>
    <w:rsid w:val="00486C68"/>
    <w:rsid w:val="00486EAB"/>
    <w:rsid w:val="00487DDF"/>
    <w:rsid w:val="00487F45"/>
    <w:rsid w:val="004904B0"/>
    <w:rsid w:val="004905FE"/>
    <w:rsid w:val="00492D48"/>
    <w:rsid w:val="00492E05"/>
    <w:rsid w:val="00494244"/>
    <w:rsid w:val="00496056"/>
    <w:rsid w:val="00496254"/>
    <w:rsid w:val="00496B58"/>
    <w:rsid w:val="004A05B9"/>
    <w:rsid w:val="004A0CC6"/>
    <w:rsid w:val="004A0F9D"/>
    <w:rsid w:val="004A1693"/>
    <w:rsid w:val="004A320E"/>
    <w:rsid w:val="004A3B07"/>
    <w:rsid w:val="004A3D1F"/>
    <w:rsid w:val="004A4AFC"/>
    <w:rsid w:val="004A5936"/>
    <w:rsid w:val="004A5AF9"/>
    <w:rsid w:val="004A5E28"/>
    <w:rsid w:val="004A617B"/>
    <w:rsid w:val="004A63EF"/>
    <w:rsid w:val="004A7B0A"/>
    <w:rsid w:val="004B044E"/>
    <w:rsid w:val="004B139C"/>
    <w:rsid w:val="004B18F2"/>
    <w:rsid w:val="004B2CA0"/>
    <w:rsid w:val="004B2FB5"/>
    <w:rsid w:val="004B3026"/>
    <w:rsid w:val="004B598C"/>
    <w:rsid w:val="004B5D8D"/>
    <w:rsid w:val="004B5F2E"/>
    <w:rsid w:val="004B60BF"/>
    <w:rsid w:val="004B6915"/>
    <w:rsid w:val="004B6FF2"/>
    <w:rsid w:val="004B725B"/>
    <w:rsid w:val="004B7C2F"/>
    <w:rsid w:val="004C13CA"/>
    <w:rsid w:val="004C2C81"/>
    <w:rsid w:val="004C2D60"/>
    <w:rsid w:val="004C318D"/>
    <w:rsid w:val="004C32F1"/>
    <w:rsid w:val="004C3B34"/>
    <w:rsid w:val="004C40EF"/>
    <w:rsid w:val="004C48E5"/>
    <w:rsid w:val="004C4C2A"/>
    <w:rsid w:val="004C4D7C"/>
    <w:rsid w:val="004C5151"/>
    <w:rsid w:val="004C6280"/>
    <w:rsid w:val="004C7FDF"/>
    <w:rsid w:val="004D0BA1"/>
    <w:rsid w:val="004D2CA4"/>
    <w:rsid w:val="004D32EF"/>
    <w:rsid w:val="004D3818"/>
    <w:rsid w:val="004D49C5"/>
    <w:rsid w:val="004D4AF7"/>
    <w:rsid w:val="004D55C5"/>
    <w:rsid w:val="004D6643"/>
    <w:rsid w:val="004D6A93"/>
    <w:rsid w:val="004E0EF8"/>
    <w:rsid w:val="004E1630"/>
    <w:rsid w:val="004E24B8"/>
    <w:rsid w:val="004E5350"/>
    <w:rsid w:val="004E5756"/>
    <w:rsid w:val="004E5FAB"/>
    <w:rsid w:val="004E61F5"/>
    <w:rsid w:val="004E66C5"/>
    <w:rsid w:val="004E71FE"/>
    <w:rsid w:val="004E74BF"/>
    <w:rsid w:val="004F1009"/>
    <w:rsid w:val="004F35BF"/>
    <w:rsid w:val="004F3C12"/>
    <w:rsid w:val="004F43EC"/>
    <w:rsid w:val="004F478F"/>
    <w:rsid w:val="004F4CAB"/>
    <w:rsid w:val="004F564C"/>
    <w:rsid w:val="004F710F"/>
    <w:rsid w:val="004F7A34"/>
    <w:rsid w:val="00501DD8"/>
    <w:rsid w:val="00502F7E"/>
    <w:rsid w:val="0050362B"/>
    <w:rsid w:val="0050380A"/>
    <w:rsid w:val="00503E27"/>
    <w:rsid w:val="005045C9"/>
    <w:rsid w:val="00504EB9"/>
    <w:rsid w:val="005067CA"/>
    <w:rsid w:val="00506ABA"/>
    <w:rsid w:val="00507765"/>
    <w:rsid w:val="00511EA6"/>
    <w:rsid w:val="00512B3B"/>
    <w:rsid w:val="005137F4"/>
    <w:rsid w:val="0051411F"/>
    <w:rsid w:val="00515235"/>
    <w:rsid w:val="005153EC"/>
    <w:rsid w:val="00517F4C"/>
    <w:rsid w:val="0052151D"/>
    <w:rsid w:val="00521560"/>
    <w:rsid w:val="00521ECB"/>
    <w:rsid w:val="00522BB1"/>
    <w:rsid w:val="00523D0A"/>
    <w:rsid w:val="005240E6"/>
    <w:rsid w:val="00524A68"/>
    <w:rsid w:val="0052582D"/>
    <w:rsid w:val="005264EA"/>
    <w:rsid w:val="00527F29"/>
    <w:rsid w:val="005302E5"/>
    <w:rsid w:val="005310BF"/>
    <w:rsid w:val="00531B97"/>
    <w:rsid w:val="00533B79"/>
    <w:rsid w:val="00533F08"/>
    <w:rsid w:val="00535010"/>
    <w:rsid w:val="00536751"/>
    <w:rsid w:val="00536E92"/>
    <w:rsid w:val="00537EF2"/>
    <w:rsid w:val="00537F26"/>
    <w:rsid w:val="00540565"/>
    <w:rsid w:val="005408D6"/>
    <w:rsid w:val="00540E03"/>
    <w:rsid w:val="00540E36"/>
    <w:rsid w:val="00541267"/>
    <w:rsid w:val="00541B56"/>
    <w:rsid w:val="005424B7"/>
    <w:rsid w:val="005426DA"/>
    <w:rsid w:val="00544498"/>
    <w:rsid w:val="0054490C"/>
    <w:rsid w:val="00544CFC"/>
    <w:rsid w:val="0054503B"/>
    <w:rsid w:val="005454E2"/>
    <w:rsid w:val="00550095"/>
    <w:rsid w:val="00552BBC"/>
    <w:rsid w:val="00553071"/>
    <w:rsid w:val="005530DE"/>
    <w:rsid w:val="00553169"/>
    <w:rsid w:val="0055344E"/>
    <w:rsid w:val="00554270"/>
    <w:rsid w:val="0055436D"/>
    <w:rsid w:val="00555A15"/>
    <w:rsid w:val="00555EA1"/>
    <w:rsid w:val="00556832"/>
    <w:rsid w:val="0055716A"/>
    <w:rsid w:val="00557C2A"/>
    <w:rsid w:val="00557DF8"/>
    <w:rsid w:val="00560C21"/>
    <w:rsid w:val="00560C9E"/>
    <w:rsid w:val="00561D5A"/>
    <w:rsid w:val="00561E0B"/>
    <w:rsid w:val="00563251"/>
    <w:rsid w:val="0056382F"/>
    <w:rsid w:val="00563C22"/>
    <w:rsid w:val="00563E01"/>
    <w:rsid w:val="005645B2"/>
    <w:rsid w:val="00564758"/>
    <w:rsid w:val="00564A09"/>
    <w:rsid w:val="00564E36"/>
    <w:rsid w:val="00565060"/>
    <w:rsid w:val="00565754"/>
    <w:rsid w:val="00566417"/>
    <w:rsid w:val="00566928"/>
    <w:rsid w:val="005677F6"/>
    <w:rsid w:val="00567B59"/>
    <w:rsid w:val="00570F0B"/>
    <w:rsid w:val="00571C31"/>
    <w:rsid w:val="00574B05"/>
    <w:rsid w:val="00574E1E"/>
    <w:rsid w:val="00575472"/>
    <w:rsid w:val="00575B73"/>
    <w:rsid w:val="0057637A"/>
    <w:rsid w:val="00583FBF"/>
    <w:rsid w:val="00584395"/>
    <w:rsid w:val="005866B9"/>
    <w:rsid w:val="00591066"/>
    <w:rsid w:val="00591F7A"/>
    <w:rsid w:val="0059303F"/>
    <w:rsid w:val="00593724"/>
    <w:rsid w:val="00593A3C"/>
    <w:rsid w:val="00594443"/>
    <w:rsid w:val="00595BC0"/>
    <w:rsid w:val="00595EEF"/>
    <w:rsid w:val="005A08A2"/>
    <w:rsid w:val="005A0A27"/>
    <w:rsid w:val="005A1860"/>
    <w:rsid w:val="005A37A9"/>
    <w:rsid w:val="005A3FC8"/>
    <w:rsid w:val="005A43DF"/>
    <w:rsid w:val="005A44D4"/>
    <w:rsid w:val="005A4B64"/>
    <w:rsid w:val="005A5949"/>
    <w:rsid w:val="005A76B5"/>
    <w:rsid w:val="005A778F"/>
    <w:rsid w:val="005B12FC"/>
    <w:rsid w:val="005B155F"/>
    <w:rsid w:val="005B167C"/>
    <w:rsid w:val="005B168D"/>
    <w:rsid w:val="005B21DB"/>
    <w:rsid w:val="005B2219"/>
    <w:rsid w:val="005B25EF"/>
    <w:rsid w:val="005B2A60"/>
    <w:rsid w:val="005B3382"/>
    <w:rsid w:val="005B4125"/>
    <w:rsid w:val="005B48B7"/>
    <w:rsid w:val="005B4A4B"/>
    <w:rsid w:val="005B5592"/>
    <w:rsid w:val="005B56A9"/>
    <w:rsid w:val="005B74B2"/>
    <w:rsid w:val="005B7C10"/>
    <w:rsid w:val="005C018B"/>
    <w:rsid w:val="005C041C"/>
    <w:rsid w:val="005C28DB"/>
    <w:rsid w:val="005C3626"/>
    <w:rsid w:val="005C3BB7"/>
    <w:rsid w:val="005C3D79"/>
    <w:rsid w:val="005C422D"/>
    <w:rsid w:val="005C45EA"/>
    <w:rsid w:val="005C5239"/>
    <w:rsid w:val="005C5EFC"/>
    <w:rsid w:val="005C6490"/>
    <w:rsid w:val="005C7713"/>
    <w:rsid w:val="005D0593"/>
    <w:rsid w:val="005D062A"/>
    <w:rsid w:val="005D0ADC"/>
    <w:rsid w:val="005D177B"/>
    <w:rsid w:val="005D28ED"/>
    <w:rsid w:val="005D2DE0"/>
    <w:rsid w:val="005D3748"/>
    <w:rsid w:val="005D5440"/>
    <w:rsid w:val="005D5AC1"/>
    <w:rsid w:val="005D5DD0"/>
    <w:rsid w:val="005D6343"/>
    <w:rsid w:val="005D6BEB"/>
    <w:rsid w:val="005E0651"/>
    <w:rsid w:val="005E088B"/>
    <w:rsid w:val="005E08FF"/>
    <w:rsid w:val="005E0B27"/>
    <w:rsid w:val="005E15CF"/>
    <w:rsid w:val="005E178A"/>
    <w:rsid w:val="005E1E78"/>
    <w:rsid w:val="005E2879"/>
    <w:rsid w:val="005E2D1E"/>
    <w:rsid w:val="005E38EE"/>
    <w:rsid w:val="005E3BFB"/>
    <w:rsid w:val="005E40D3"/>
    <w:rsid w:val="005E4E99"/>
    <w:rsid w:val="005E5316"/>
    <w:rsid w:val="005E53DF"/>
    <w:rsid w:val="005E56F8"/>
    <w:rsid w:val="005E582F"/>
    <w:rsid w:val="005E58E7"/>
    <w:rsid w:val="005E6821"/>
    <w:rsid w:val="005E6E57"/>
    <w:rsid w:val="005E72A5"/>
    <w:rsid w:val="005E7A1E"/>
    <w:rsid w:val="005F0134"/>
    <w:rsid w:val="005F0ADC"/>
    <w:rsid w:val="005F10CC"/>
    <w:rsid w:val="005F1E0B"/>
    <w:rsid w:val="005F21C7"/>
    <w:rsid w:val="005F35DD"/>
    <w:rsid w:val="005F5D43"/>
    <w:rsid w:val="005F5D59"/>
    <w:rsid w:val="005F7906"/>
    <w:rsid w:val="00600400"/>
    <w:rsid w:val="00600442"/>
    <w:rsid w:val="00600F12"/>
    <w:rsid w:val="0060114D"/>
    <w:rsid w:val="00601C73"/>
    <w:rsid w:val="006031E0"/>
    <w:rsid w:val="00604E6E"/>
    <w:rsid w:val="00605702"/>
    <w:rsid w:val="00605B7A"/>
    <w:rsid w:val="00606662"/>
    <w:rsid w:val="00607ACE"/>
    <w:rsid w:val="00607B8D"/>
    <w:rsid w:val="0061191E"/>
    <w:rsid w:val="0061209E"/>
    <w:rsid w:val="00612CF3"/>
    <w:rsid w:val="00612FE9"/>
    <w:rsid w:val="00613839"/>
    <w:rsid w:val="006147E8"/>
    <w:rsid w:val="00616E29"/>
    <w:rsid w:val="006170A5"/>
    <w:rsid w:val="006200D2"/>
    <w:rsid w:val="0062050B"/>
    <w:rsid w:val="00620ADD"/>
    <w:rsid w:val="006214D8"/>
    <w:rsid w:val="00622011"/>
    <w:rsid w:val="00622617"/>
    <w:rsid w:val="00627A12"/>
    <w:rsid w:val="00627B86"/>
    <w:rsid w:val="00630AAC"/>
    <w:rsid w:val="00631D88"/>
    <w:rsid w:val="006323A7"/>
    <w:rsid w:val="00632B1D"/>
    <w:rsid w:val="00633B12"/>
    <w:rsid w:val="00636018"/>
    <w:rsid w:val="006361F2"/>
    <w:rsid w:val="0064108B"/>
    <w:rsid w:val="00641886"/>
    <w:rsid w:val="00641901"/>
    <w:rsid w:val="00641CC4"/>
    <w:rsid w:val="00641D0C"/>
    <w:rsid w:val="00641EE8"/>
    <w:rsid w:val="00642F6C"/>
    <w:rsid w:val="0064370E"/>
    <w:rsid w:val="0064518C"/>
    <w:rsid w:val="00645C84"/>
    <w:rsid w:val="00645DB1"/>
    <w:rsid w:val="00646400"/>
    <w:rsid w:val="00646C1B"/>
    <w:rsid w:val="00646EC0"/>
    <w:rsid w:val="00647F11"/>
    <w:rsid w:val="00651632"/>
    <w:rsid w:val="0065178B"/>
    <w:rsid w:val="00651C8E"/>
    <w:rsid w:val="00653B40"/>
    <w:rsid w:val="00653EF2"/>
    <w:rsid w:val="00655261"/>
    <w:rsid w:val="0065553C"/>
    <w:rsid w:val="006558D2"/>
    <w:rsid w:val="00656342"/>
    <w:rsid w:val="00656BBD"/>
    <w:rsid w:val="00657AB0"/>
    <w:rsid w:val="00657B72"/>
    <w:rsid w:val="00660238"/>
    <w:rsid w:val="00660954"/>
    <w:rsid w:val="006616AF"/>
    <w:rsid w:val="00661D76"/>
    <w:rsid w:val="006623DA"/>
    <w:rsid w:val="0066300E"/>
    <w:rsid w:val="00663CE8"/>
    <w:rsid w:val="00663E0E"/>
    <w:rsid w:val="00665642"/>
    <w:rsid w:val="00665D0A"/>
    <w:rsid w:val="00666793"/>
    <w:rsid w:val="00666F04"/>
    <w:rsid w:val="00667CA9"/>
    <w:rsid w:val="00667DF6"/>
    <w:rsid w:val="00670031"/>
    <w:rsid w:val="006708F3"/>
    <w:rsid w:val="00671560"/>
    <w:rsid w:val="006715F0"/>
    <w:rsid w:val="00672A00"/>
    <w:rsid w:val="00672DE2"/>
    <w:rsid w:val="0067331B"/>
    <w:rsid w:val="00674318"/>
    <w:rsid w:val="00675185"/>
    <w:rsid w:val="00675342"/>
    <w:rsid w:val="00675CBE"/>
    <w:rsid w:val="00676123"/>
    <w:rsid w:val="00676CF2"/>
    <w:rsid w:val="00676ED6"/>
    <w:rsid w:val="00677CAF"/>
    <w:rsid w:val="00680A4C"/>
    <w:rsid w:val="00682B84"/>
    <w:rsid w:val="00682BBE"/>
    <w:rsid w:val="00682D12"/>
    <w:rsid w:val="0068352A"/>
    <w:rsid w:val="00683DC5"/>
    <w:rsid w:val="00683E23"/>
    <w:rsid w:val="00684235"/>
    <w:rsid w:val="0068511F"/>
    <w:rsid w:val="006853F3"/>
    <w:rsid w:val="006858CA"/>
    <w:rsid w:val="00687C99"/>
    <w:rsid w:val="00690277"/>
    <w:rsid w:val="00691D8C"/>
    <w:rsid w:val="00692499"/>
    <w:rsid w:val="006929EB"/>
    <w:rsid w:val="006955D2"/>
    <w:rsid w:val="00695E85"/>
    <w:rsid w:val="00696D2D"/>
    <w:rsid w:val="006970E9"/>
    <w:rsid w:val="006A01E6"/>
    <w:rsid w:val="006A0386"/>
    <w:rsid w:val="006A0F93"/>
    <w:rsid w:val="006A1A90"/>
    <w:rsid w:val="006A1C77"/>
    <w:rsid w:val="006A4606"/>
    <w:rsid w:val="006A632D"/>
    <w:rsid w:val="006A6AFE"/>
    <w:rsid w:val="006A7119"/>
    <w:rsid w:val="006B00F5"/>
    <w:rsid w:val="006B08C9"/>
    <w:rsid w:val="006B1809"/>
    <w:rsid w:val="006B184F"/>
    <w:rsid w:val="006B2582"/>
    <w:rsid w:val="006B2BBE"/>
    <w:rsid w:val="006B3163"/>
    <w:rsid w:val="006B4C5B"/>
    <w:rsid w:val="006B5989"/>
    <w:rsid w:val="006B5BF7"/>
    <w:rsid w:val="006B6A24"/>
    <w:rsid w:val="006B79E3"/>
    <w:rsid w:val="006C01BD"/>
    <w:rsid w:val="006C08F1"/>
    <w:rsid w:val="006C0C29"/>
    <w:rsid w:val="006C17BD"/>
    <w:rsid w:val="006C250E"/>
    <w:rsid w:val="006C262D"/>
    <w:rsid w:val="006C28E9"/>
    <w:rsid w:val="006C30D8"/>
    <w:rsid w:val="006C34AA"/>
    <w:rsid w:val="006C6476"/>
    <w:rsid w:val="006C79C6"/>
    <w:rsid w:val="006C7A83"/>
    <w:rsid w:val="006D0999"/>
    <w:rsid w:val="006D1D4C"/>
    <w:rsid w:val="006D1F27"/>
    <w:rsid w:val="006D257E"/>
    <w:rsid w:val="006D2FCD"/>
    <w:rsid w:val="006D3AB3"/>
    <w:rsid w:val="006D43D0"/>
    <w:rsid w:val="006D463A"/>
    <w:rsid w:val="006D5DDE"/>
    <w:rsid w:val="006D624F"/>
    <w:rsid w:val="006D741F"/>
    <w:rsid w:val="006D789F"/>
    <w:rsid w:val="006D79A8"/>
    <w:rsid w:val="006D7A4B"/>
    <w:rsid w:val="006D7DDD"/>
    <w:rsid w:val="006E01BA"/>
    <w:rsid w:val="006E0B68"/>
    <w:rsid w:val="006E1221"/>
    <w:rsid w:val="006E1DD4"/>
    <w:rsid w:val="006E31D6"/>
    <w:rsid w:val="006E3322"/>
    <w:rsid w:val="006E4725"/>
    <w:rsid w:val="006E4AC5"/>
    <w:rsid w:val="006E4CED"/>
    <w:rsid w:val="006E5FF8"/>
    <w:rsid w:val="006E7AC8"/>
    <w:rsid w:val="006F00F8"/>
    <w:rsid w:val="006F0CBF"/>
    <w:rsid w:val="006F2226"/>
    <w:rsid w:val="006F31D6"/>
    <w:rsid w:val="006F49FF"/>
    <w:rsid w:val="006F508C"/>
    <w:rsid w:val="006F5AD3"/>
    <w:rsid w:val="006F66AD"/>
    <w:rsid w:val="006F7003"/>
    <w:rsid w:val="006F7385"/>
    <w:rsid w:val="006F78E6"/>
    <w:rsid w:val="00700272"/>
    <w:rsid w:val="00700B43"/>
    <w:rsid w:val="00700CBB"/>
    <w:rsid w:val="00701D11"/>
    <w:rsid w:val="007032FE"/>
    <w:rsid w:val="007036E1"/>
    <w:rsid w:val="007040C7"/>
    <w:rsid w:val="00704462"/>
    <w:rsid w:val="007057A5"/>
    <w:rsid w:val="00706DF0"/>
    <w:rsid w:val="007108CA"/>
    <w:rsid w:val="00710E88"/>
    <w:rsid w:val="0071150F"/>
    <w:rsid w:val="00711BFC"/>
    <w:rsid w:val="00712561"/>
    <w:rsid w:val="007128A0"/>
    <w:rsid w:val="00713091"/>
    <w:rsid w:val="0071336C"/>
    <w:rsid w:val="00713E2B"/>
    <w:rsid w:val="00715387"/>
    <w:rsid w:val="007159C2"/>
    <w:rsid w:val="007165EC"/>
    <w:rsid w:val="00716859"/>
    <w:rsid w:val="00716AA9"/>
    <w:rsid w:val="0071706F"/>
    <w:rsid w:val="007174F9"/>
    <w:rsid w:val="00717914"/>
    <w:rsid w:val="00717F05"/>
    <w:rsid w:val="0072056A"/>
    <w:rsid w:val="007208B3"/>
    <w:rsid w:val="00720D75"/>
    <w:rsid w:val="00721DB3"/>
    <w:rsid w:val="00722427"/>
    <w:rsid w:val="00723536"/>
    <w:rsid w:val="00723C01"/>
    <w:rsid w:val="00723EAB"/>
    <w:rsid w:val="00725612"/>
    <w:rsid w:val="00725A83"/>
    <w:rsid w:val="00725E07"/>
    <w:rsid w:val="00726079"/>
    <w:rsid w:val="00726880"/>
    <w:rsid w:val="007270FA"/>
    <w:rsid w:val="00727EE7"/>
    <w:rsid w:val="00730328"/>
    <w:rsid w:val="007308EE"/>
    <w:rsid w:val="00730FA9"/>
    <w:rsid w:val="0073143D"/>
    <w:rsid w:val="0073193B"/>
    <w:rsid w:val="00731AA5"/>
    <w:rsid w:val="007325A6"/>
    <w:rsid w:val="00732707"/>
    <w:rsid w:val="00732DC2"/>
    <w:rsid w:val="00733BA0"/>
    <w:rsid w:val="00734A7A"/>
    <w:rsid w:val="007359FD"/>
    <w:rsid w:val="00735AD6"/>
    <w:rsid w:val="00735C34"/>
    <w:rsid w:val="00737503"/>
    <w:rsid w:val="00737BD3"/>
    <w:rsid w:val="00737BF6"/>
    <w:rsid w:val="0074103E"/>
    <w:rsid w:val="0074160D"/>
    <w:rsid w:val="00742524"/>
    <w:rsid w:val="007427A4"/>
    <w:rsid w:val="00742AD1"/>
    <w:rsid w:val="007432B9"/>
    <w:rsid w:val="0074429C"/>
    <w:rsid w:val="00744C09"/>
    <w:rsid w:val="00745A33"/>
    <w:rsid w:val="007466BE"/>
    <w:rsid w:val="00746907"/>
    <w:rsid w:val="00747711"/>
    <w:rsid w:val="007512C0"/>
    <w:rsid w:val="00751533"/>
    <w:rsid w:val="007515B6"/>
    <w:rsid w:val="00752B35"/>
    <w:rsid w:val="00752E79"/>
    <w:rsid w:val="00752E9C"/>
    <w:rsid w:val="00753584"/>
    <w:rsid w:val="007537D3"/>
    <w:rsid w:val="00753FB4"/>
    <w:rsid w:val="00754BF7"/>
    <w:rsid w:val="0075535F"/>
    <w:rsid w:val="00755822"/>
    <w:rsid w:val="00755D5D"/>
    <w:rsid w:val="00755DFD"/>
    <w:rsid w:val="00755F89"/>
    <w:rsid w:val="007566A6"/>
    <w:rsid w:val="007566CC"/>
    <w:rsid w:val="00756FE8"/>
    <w:rsid w:val="00760746"/>
    <w:rsid w:val="00761F18"/>
    <w:rsid w:val="007638FE"/>
    <w:rsid w:val="0076439F"/>
    <w:rsid w:val="0076441F"/>
    <w:rsid w:val="00764608"/>
    <w:rsid w:val="00764914"/>
    <w:rsid w:val="007649E4"/>
    <w:rsid w:val="00764F9D"/>
    <w:rsid w:val="007668B8"/>
    <w:rsid w:val="007673DA"/>
    <w:rsid w:val="00767FDD"/>
    <w:rsid w:val="007702A6"/>
    <w:rsid w:val="007707B0"/>
    <w:rsid w:val="00770B2D"/>
    <w:rsid w:val="00771A5E"/>
    <w:rsid w:val="00771E50"/>
    <w:rsid w:val="00772EFB"/>
    <w:rsid w:val="00773A69"/>
    <w:rsid w:val="0077507C"/>
    <w:rsid w:val="00775CAA"/>
    <w:rsid w:val="007761CA"/>
    <w:rsid w:val="00776439"/>
    <w:rsid w:val="007767F8"/>
    <w:rsid w:val="00777638"/>
    <w:rsid w:val="007777A1"/>
    <w:rsid w:val="00777FBD"/>
    <w:rsid w:val="00780013"/>
    <w:rsid w:val="0078035A"/>
    <w:rsid w:val="007806A2"/>
    <w:rsid w:val="007807FD"/>
    <w:rsid w:val="00780ED7"/>
    <w:rsid w:val="00781561"/>
    <w:rsid w:val="00781797"/>
    <w:rsid w:val="00781C16"/>
    <w:rsid w:val="00784977"/>
    <w:rsid w:val="0078515F"/>
    <w:rsid w:val="007855A8"/>
    <w:rsid w:val="00785A97"/>
    <w:rsid w:val="00786678"/>
    <w:rsid w:val="0078676D"/>
    <w:rsid w:val="00790161"/>
    <w:rsid w:val="0079120C"/>
    <w:rsid w:val="00791523"/>
    <w:rsid w:val="007936FE"/>
    <w:rsid w:val="00793B93"/>
    <w:rsid w:val="00794D0E"/>
    <w:rsid w:val="0079526C"/>
    <w:rsid w:val="0079547E"/>
    <w:rsid w:val="0079600B"/>
    <w:rsid w:val="00797B5B"/>
    <w:rsid w:val="00797B83"/>
    <w:rsid w:val="007A0205"/>
    <w:rsid w:val="007A079F"/>
    <w:rsid w:val="007A0D39"/>
    <w:rsid w:val="007A0E0E"/>
    <w:rsid w:val="007A1210"/>
    <w:rsid w:val="007A13F5"/>
    <w:rsid w:val="007A43BD"/>
    <w:rsid w:val="007A4482"/>
    <w:rsid w:val="007A5263"/>
    <w:rsid w:val="007A5966"/>
    <w:rsid w:val="007A5CB1"/>
    <w:rsid w:val="007A7007"/>
    <w:rsid w:val="007A70D4"/>
    <w:rsid w:val="007A79EA"/>
    <w:rsid w:val="007B08A6"/>
    <w:rsid w:val="007B094A"/>
    <w:rsid w:val="007B1B13"/>
    <w:rsid w:val="007B1B6A"/>
    <w:rsid w:val="007B1FAB"/>
    <w:rsid w:val="007B3307"/>
    <w:rsid w:val="007B4300"/>
    <w:rsid w:val="007B4E97"/>
    <w:rsid w:val="007B6196"/>
    <w:rsid w:val="007B6624"/>
    <w:rsid w:val="007B6AD3"/>
    <w:rsid w:val="007C06B5"/>
    <w:rsid w:val="007C0CFE"/>
    <w:rsid w:val="007C1323"/>
    <w:rsid w:val="007C225E"/>
    <w:rsid w:val="007C3122"/>
    <w:rsid w:val="007C3B3D"/>
    <w:rsid w:val="007C4B29"/>
    <w:rsid w:val="007C5A4A"/>
    <w:rsid w:val="007C5E36"/>
    <w:rsid w:val="007C6D3A"/>
    <w:rsid w:val="007C79D1"/>
    <w:rsid w:val="007C7D44"/>
    <w:rsid w:val="007D06EC"/>
    <w:rsid w:val="007D0A05"/>
    <w:rsid w:val="007D107E"/>
    <w:rsid w:val="007D2B93"/>
    <w:rsid w:val="007D2E15"/>
    <w:rsid w:val="007D3021"/>
    <w:rsid w:val="007D4115"/>
    <w:rsid w:val="007D50A7"/>
    <w:rsid w:val="007D616B"/>
    <w:rsid w:val="007D6B98"/>
    <w:rsid w:val="007D7233"/>
    <w:rsid w:val="007D79F0"/>
    <w:rsid w:val="007E03E3"/>
    <w:rsid w:val="007E0BDE"/>
    <w:rsid w:val="007E1F15"/>
    <w:rsid w:val="007E1F23"/>
    <w:rsid w:val="007E241E"/>
    <w:rsid w:val="007E4083"/>
    <w:rsid w:val="007E44B5"/>
    <w:rsid w:val="007E4601"/>
    <w:rsid w:val="007E4DCF"/>
    <w:rsid w:val="007E50D3"/>
    <w:rsid w:val="007E52F6"/>
    <w:rsid w:val="007E6A6E"/>
    <w:rsid w:val="007E71E8"/>
    <w:rsid w:val="007E739D"/>
    <w:rsid w:val="007E74B9"/>
    <w:rsid w:val="007F13AE"/>
    <w:rsid w:val="007F229D"/>
    <w:rsid w:val="007F284E"/>
    <w:rsid w:val="007F4C7F"/>
    <w:rsid w:val="007F5E32"/>
    <w:rsid w:val="007F659A"/>
    <w:rsid w:val="007F673A"/>
    <w:rsid w:val="007F69BD"/>
    <w:rsid w:val="007F701E"/>
    <w:rsid w:val="007F7085"/>
    <w:rsid w:val="0080128D"/>
    <w:rsid w:val="00801BF3"/>
    <w:rsid w:val="00802968"/>
    <w:rsid w:val="00802C0F"/>
    <w:rsid w:val="008046C1"/>
    <w:rsid w:val="0080506A"/>
    <w:rsid w:val="00805D81"/>
    <w:rsid w:val="00806EBE"/>
    <w:rsid w:val="00807123"/>
    <w:rsid w:val="0080757D"/>
    <w:rsid w:val="008111AC"/>
    <w:rsid w:val="008114A8"/>
    <w:rsid w:val="00811577"/>
    <w:rsid w:val="00811C09"/>
    <w:rsid w:val="00812D3F"/>
    <w:rsid w:val="00813566"/>
    <w:rsid w:val="0081512F"/>
    <w:rsid w:val="00815238"/>
    <w:rsid w:val="00816520"/>
    <w:rsid w:val="008165DD"/>
    <w:rsid w:val="00816F41"/>
    <w:rsid w:val="00817D23"/>
    <w:rsid w:val="008201C6"/>
    <w:rsid w:val="00820F0E"/>
    <w:rsid w:val="00821463"/>
    <w:rsid w:val="00821923"/>
    <w:rsid w:val="0082494B"/>
    <w:rsid w:val="00825664"/>
    <w:rsid w:val="00825D78"/>
    <w:rsid w:val="00825EEE"/>
    <w:rsid w:val="00826AC1"/>
    <w:rsid w:val="00826D80"/>
    <w:rsid w:val="00826D91"/>
    <w:rsid w:val="00830C08"/>
    <w:rsid w:val="00831489"/>
    <w:rsid w:val="00831D50"/>
    <w:rsid w:val="0083217B"/>
    <w:rsid w:val="0083271F"/>
    <w:rsid w:val="0083381D"/>
    <w:rsid w:val="00833A83"/>
    <w:rsid w:val="00834456"/>
    <w:rsid w:val="008348BD"/>
    <w:rsid w:val="008354F6"/>
    <w:rsid w:val="00836CB9"/>
    <w:rsid w:val="00836FBD"/>
    <w:rsid w:val="008370AA"/>
    <w:rsid w:val="00837553"/>
    <w:rsid w:val="0084034E"/>
    <w:rsid w:val="0084133C"/>
    <w:rsid w:val="008434D5"/>
    <w:rsid w:val="008456B5"/>
    <w:rsid w:val="00845749"/>
    <w:rsid w:val="00851DAF"/>
    <w:rsid w:val="00853450"/>
    <w:rsid w:val="0085522F"/>
    <w:rsid w:val="008561A3"/>
    <w:rsid w:val="00857501"/>
    <w:rsid w:val="00857CA5"/>
    <w:rsid w:val="00857CD1"/>
    <w:rsid w:val="00860477"/>
    <w:rsid w:val="00860630"/>
    <w:rsid w:val="008625B8"/>
    <w:rsid w:val="00862952"/>
    <w:rsid w:val="00862FA5"/>
    <w:rsid w:val="00863AA2"/>
    <w:rsid w:val="00863EE8"/>
    <w:rsid w:val="0086410D"/>
    <w:rsid w:val="0086598A"/>
    <w:rsid w:val="00866DF9"/>
    <w:rsid w:val="00866FD7"/>
    <w:rsid w:val="008715A4"/>
    <w:rsid w:val="0087171C"/>
    <w:rsid w:val="00873671"/>
    <w:rsid w:val="008742E7"/>
    <w:rsid w:val="00874AA8"/>
    <w:rsid w:val="00875585"/>
    <w:rsid w:val="00875D57"/>
    <w:rsid w:val="00876344"/>
    <w:rsid w:val="00876754"/>
    <w:rsid w:val="00876E16"/>
    <w:rsid w:val="008778F8"/>
    <w:rsid w:val="00877F49"/>
    <w:rsid w:val="00877F89"/>
    <w:rsid w:val="008801C6"/>
    <w:rsid w:val="00880677"/>
    <w:rsid w:val="008815DE"/>
    <w:rsid w:val="00881C78"/>
    <w:rsid w:val="008828CB"/>
    <w:rsid w:val="00882F50"/>
    <w:rsid w:val="00883379"/>
    <w:rsid w:val="00883927"/>
    <w:rsid w:val="008848DB"/>
    <w:rsid w:val="0088512C"/>
    <w:rsid w:val="0088566B"/>
    <w:rsid w:val="008858D2"/>
    <w:rsid w:val="008871CD"/>
    <w:rsid w:val="00890379"/>
    <w:rsid w:val="008904E1"/>
    <w:rsid w:val="0089057F"/>
    <w:rsid w:val="008905B7"/>
    <w:rsid w:val="008919D0"/>
    <w:rsid w:val="00892B54"/>
    <w:rsid w:val="008948B1"/>
    <w:rsid w:val="00895B08"/>
    <w:rsid w:val="008A1D4E"/>
    <w:rsid w:val="008A2B8E"/>
    <w:rsid w:val="008A3A08"/>
    <w:rsid w:val="008A47E3"/>
    <w:rsid w:val="008A5BD9"/>
    <w:rsid w:val="008A75AD"/>
    <w:rsid w:val="008A7864"/>
    <w:rsid w:val="008B1DD6"/>
    <w:rsid w:val="008B1FE4"/>
    <w:rsid w:val="008B2573"/>
    <w:rsid w:val="008B3DF4"/>
    <w:rsid w:val="008B40A1"/>
    <w:rsid w:val="008B5469"/>
    <w:rsid w:val="008B5474"/>
    <w:rsid w:val="008B6344"/>
    <w:rsid w:val="008B6BB1"/>
    <w:rsid w:val="008B6CE6"/>
    <w:rsid w:val="008B6F2B"/>
    <w:rsid w:val="008B7647"/>
    <w:rsid w:val="008B7AF8"/>
    <w:rsid w:val="008B7D49"/>
    <w:rsid w:val="008C0073"/>
    <w:rsid w:val="008C1AD5"/>
    <w:rsid w:val="008C222C"/>
    <w:rsid w:val="008C2A31"/>
    <w:rsid w:val="008C2D77"/>
    <w:rsid w:val="008C465A"/>
    <w:rsid w:val="008C4A4A"/>
    <w:rsid w:val="008C5AB0"/>
    <w:rsid w:val="008C698F"/>
    <w:rsid w:val="008C6A5E"/>
    <w:rsid w:val="008C7704"/>
    <w:rsid w:val="008C7937"/>
    <w:rsid w:val="008D11B2"/>
    <w:rsid w:val="008D1367"/>
    <w:rsid w:val="008D23CE"/>
    <w:rsid w:val="008D3565"/>
    <w:rsid w:val="008D4645"/>
    <w:rsid w:val="008D4A0F"/>
    <w:rsid w:val="008D4A86"/>
    <w:rsid w:val="008D57FD"/>
    <w:rsid w:val="008D5B81"/>
    <w:rsid w:val="008D76F4"/>
    <w:rsid w:val="008E0235"/>
    <w:rsid w:val="008E0B7D"/>
    <w:rsid w:val="008E0ECD"/>
    <w:rsid w:val="008E2E37"/>
    <w:rsid w:val="008E3066"/>
    <w:rsid w:val="008E35D7"/>
    <w:rsid w:val="008E5946"/>
    <w:rsid w:val="008E5F51"/>
    <w:rsid w:val="008E6F4A"/>
    <w:rsid w:val="008E7F15"/>
    <w:rsid w:val="008F06C4"/>
    <w:rsid w:val="008F0F8F"/>
    <w:rsid w:val="008F1F4C"/>
    <w:rsid w:val="008F244F"/>
    <w:rsid w:val="008F5901"/>
    <w:rsid w:val="008F5E2B"/>
    <w:rsid w:val="008F7033"/>
    <w:rsid w:val="008F740C"/>
    <w:rsid w:val="0090059A"/>
    <w:rsid w:val="009013B5"/>
    <w:rsid w:val="00901BCD"/>
    <w:rsid w:val="00902682"/>
    <w:rsid w:val="00902A13"/>
    <w:rsid w:val="00903E4E"/>
    <w:rsid w:val="00904493"/>
    <w:rsid w:val="00904A6D"/>
    <w:rsid w:val="00904AA3"/>
    <w:rsid w:val="00905F82"/>
    <w:rsid w:val="00905FD4"/>
    <w:rsid w:val="0090634C"/>
    <w:rsid w:val="009063A1"/>
    <w:rsid w:val="009069D3"/>
    <w:rsid w:val="00907AFF"/>
    <w:rsid w:val="00910FFC"/>
    <w:rsid w:val="009113C0"/>
    <w:rsid w:val="009115FE"/>
    <w:rsid w:val="009121E8"/>
    <w:rsid w:val="00912D37"/>
    <w:rsid w:val="0091302E"/>
    <w:rsid w:val="00913B4B"/>
    <w:rsid w:val="00915166"/>
    <w:rsid w:val="00915560"/>
    <w:rsid w:val="00915726"/>
    <w:rsid w:val="009163D9"/>
    <w:rsid w:val="00916954"/>
    <w:rsid w:val="009172B3"/>
    <w:rsid w:val="009204C1"/>
    <w:rsid w:val="0092071A"/>
    <w:rsid w:val="009215B9"/>
    <w:rsid w:val="0092256F"/>
    <w:rsid w:val="009226D0"/>
    <w:rsid w:val="00922D54"/>
    <w:rsid w:val="009234DF"/>
    <w:rsid w:val="00923572"/>
    <w:rsid w:val="0092377B"/>
    <w:rsid w:val="00924BD7"/>
    <w:rsid w:val="00924CF0"/>
    <w:rsid w:val="00927C46"/>
    <w:rsid w:val="009318F0"/>
    <w:rsid w:val="009333A5"/>
    <w:rsid w:val="00934292"/>
    <w:rsid w:val="009348D4"/>
    <w:rsid w:val="0093495F"/>
    <w:rsid w:val="009349E5"/>
    <w:rsid w:val="00935C24"/>
    <w:rsid w:val="00935E6A"/>
    <w:rsid w:val="0093663F"/>
    <w:rsid w:val="009368B0"/>
    <w:rsid w:val="009371F8"/>
    <w:rsid w:val="00940A42"/>
    <w:rsid w:val="00940AA1"/>
    <w:rsid w:val="00940D52"/>
    <w:rsid w:val="00941FD7"/>
    <w:rsid w:val="009420AC"/>
    <w:rsid w:val="00943801"/>
    <w:rsid w:val="00943941"/>
    <w:rsid w:val="00944F95"/>
    <w:rsid w:val="00945564"/>
    <w:rsid w:val="00946488"/>
    <w:rsid w:val="00946ADC"/>
    <w:rsid w:val="00947112"/>
    <w:rsid w:val="009474AA"/>
    <w:rsid w:val="00950025"/>
    <w:rsid w:val="009503FC"/>
    <w:rsid w:val="00950CC6"/>
    <w:rsid w:val="00951554"/>
    <w:rsid w:val="009516C7"/>
    <w:rsid w:val="00952821"/>
    <w:rsid w:val="009530D8"/>
    <w:rsid w:val="0095351B"/>
    <w:rsid w:val="00953705"/>
    <w:rsid w:val="0095477C"/>
    <w:rsid w:val="009556A3"/>
    <w:rsid w:val="00956E26"/>
    <w:rsid w:val="00957DDF"/>
    <w:rsid w:val="0096022C"/>
    <w:rsid w:val="00960833"/>
    <w:rsid w:val="00961FAB"/>
    <w:rsid w:val="00962335"/>
    <w:rsid w:val="009623FE"/>
    <w:rsid w:val="00962A6C"/>
    <w:rsid w:val="0096363A"/>
    <w:rsid w:val="00964790"/>
    <w:rsid w:val="009652B4"/>
    <w:rsid w:val="0096710C"/>
    <w:rsid w:val="00971006"/>
    <w:rsid w:val="009716F8"/>
    <w:rsid w:val="00971F5C"/>
    <w:rsid w:val="00972262"/>
    <w:rsid w:val="009726D0"/>
    <w:rsid w:val="009737C9"/>
    <w:rsid w:val="009738BD"/>
    <w:rsid w:val="00973BB2"/>
    <w:rsid w:val="0097400A"/>
    <w:rsid w:val="009759B0"/>
    <w:rsid w:val="00976054"/>
    <w:rsid w:val="009762EA"/>
    <w:rsid w:val="00976EEA"/>
    <w:rsid w:val="00977A8C"/>
    <w:rsid w:val="00977C2F"/>
    <w:rsid w:val="00980077"/>
    <w:rsid w:val="00980406"/>
    <w:rsid w:val="0098342F"/>
    <w:rsid w:val="009835E3"/>
    <w:rsid w:val="00983C6E"/>
    <w:rsid w:val="0098431A"/>
    <w:rsid w:val="009843A7"/>
    <w:rsid w:val="009843F7"/>
    <w:rsid w:val="00984F30"/>
    <w:rsid w:val="00986125"/>
    <w:rsid w:val="009862AD"/>
    <w:rsid w:val="0098633F"/>
    <w:rsid w:val="0098673D"/>
    <w:rsid w:val="009869DD"/>
    <w:rsid w:val="00986F03"/>
    <w:rsid w:val="00986F39"/>
    <w:rsid w:val="00987B11"/>
    <w:rsid w:val="00991323"/>
    <w:rsid w:val="00991D12"/>
    <w:rsid w:val="00993B34"/>
    <w:rsid w:val="00993DD6"/>
    <w:rsid w:val="00994429"/>
    <w:rsid w:val="009944EF"/>
    <w:rsid w:val="00994B52"/>
    <w:rsid w:val="00995D75"/>
    <w:rsid w:val="009966C7"/>
    <w:rsid w:val="009972CF"/>
    <w:rsid w:val="00997CE3"/>
    <w:rsid w:val="009A01F8"/>
    <w:rsid w:val="009A0421"/>
    <w:rsid w:val="009A24D9"/>
    <w:rsid w:val="009A2600"/>
    <w:rsid w:val="009A30D7"/>
    <w:rsid w:val="009A52E7"/>
    <w:rsid w:val="009A5386"/>
    <w:rsid w:val="009A5A9A"/>
    <w:rsid w:val="009A6E60"/>
    <w:rsid w:val="009A72EB"/>
    <w:rsid w:val="009B10BC"/>
    <w:rsid w:val="009B1AFF"/>
    <w:rsid w:val="009B1E45"/>
    <w:rsid w:val="009B1F20"/>
    <w:rsid w:val="009B1F94"/>
    <w:rsid w:val="009B3892"/>
    <w:rsid w:val="009B3B69"/>
    <w:rsid w:val="009B45DE"/>
    <w:rsid w:val="009B51AF"/>
    <w:rsid w:val="009B52D6"/>
    <w:rsid w:val="009C191E"/>
    <w:rsid w:val="009C2577"/>
    <w:rsid w:val="009C26A0"/>
    <w:rsid w:val="009C2F22"/>
    <w:rsid w:val="009C3107"/>
    <w:rsid w:val="009C36BC"/>
    <w:rsid w:val="009C3882"/>
    <w:rsid w:val="009C447B"/>
    <w:rsid w:val="009C4676"/>
    <w:rsid w:val="009C4D24"/>
    <w:rsid w:val="009C5672"/>
    <w:rsid w:val="009C5E2F"/>
    <w:rsid w:val="009C6859"/>
    <w:rsid w:val="009C6ACB"/>
    <w:rsid w:val="009D312A"/>
    <w:rsid w:val="009D40B1"/>
    <w:rsid w:val="009D40E6"/>
    <w:rsid w:val="009D4172"/>
    <w:rsid w:val="009D44D9"/>
    <w:rsid w:val="009D452B"/>
    <w:rsid w:val="009D67FC"/>
    <w:rsid w:val="009D6ECF"/>
    <w:rsid w:val="009E025F"/>
    <w:rsid w:val="009E14C2"/>
    <w:rsid w:val="009E1651"/>
    <w:rsid w:val="009E25BE"/>
    <w:rsid w:val="009E2B31"/>
    <w:rsid w:val="009E2C1A"/>
    <w:rsid w:val="009E417D"/>
    <w:rsid w:val="009E5D3C"/>
    <w:rsid w:val="009E65AD"/>
    <w:rsid w:val="009E71C5"/>
    <w:rsid w:val="009E73BA"/>
    <w:rsid w:val="009F0CE4"/>
    <w:rsid w:val="009F3767"/>
    <w:rsid w:val="009F3ECC"/>
    <w:rsid w:val="009F3FD7"/>
    <w:rsid w:val="009F5FB7"/>
    <w:rsid w:val="009F6FD4"/>
    <w:rsid w:val="009F7263"/>
    <w:rsid w:val="009F7C25"/>
    <w:rsid w:val="009F7C2D"/>
    <w:rsid w:val="009F7EA9"/>
    <w:rsid w:val="00A0242B"/>
    <w:rsid w:val="00A034AE"/>
    <w:rsid w:val="00A03855"/>
    <w:rsid w:val="00A04F98"/>
    <w:rsid w:val="00A0545A"/>
    <w:rsid w:val="00A05971"/>
    <w:rsid w:val="00A0642D"/>
    <w:rsid w:val="00A07033"/>
    <w:rsid w:val="00A105DB"/>
    <w:rsid w:val="00A10677"/>
    <w:rsid w:val="00A10E0A"/>
    <w:rsid w:val="00A1218E"/>
    <w:rsid w:val="00A12AF7"/>
    <w:rsid w:val="00A12F16"/>
    <w:rsid w:val="00A13181"/>
    <w:rsid w:val="00A146E0"/>
    <w:rsid w:val="00A14B4C"/>
    <w:rsid w:val="00A14DD7"/>
    <w:rsid w:val="00A150FF"/>
    <w:rsid w:val="00A17EA6"/>
    <w:rsid w:val="00A20410"/>
    <w:rsid w:val="00A21B3B"/>
    <w:rsid w:val="00A229A3"/>
    <w:rsid w:val="00A2356B"/>
    <w:rsid w:val="00A23D17"/>
    <w:rsid w:val="00A24307"/>
    <w:rsid w:val="00A24F9A"/>
    <w:rsid w:val="00A25CAE"/>
    <w:rsid w:val="00A25EAE"/>
    <w:rsid w:val="00A25ECA"/>
    <w:rsid w:val="00A26384"/>
    <w:rsid w:val="00A26860"/>
    <w:rsid w:val="00A27F12"/>
    <w:rsid w:val="00A30529"/>
    <w:rsid w:val="00A30982"/>
    <w:rsid w:val="00A30ACF"/>
    <w:rsid w:val="00A33052"/>
    <w:rsid w:val="00A33E25"/>
    <w:rsid w:val="00A344FF"/>
    <w:rsid w:val="00A34D99"/>
    <w:rsid w:val="00A34DAF"/>
    <w:rsid w:val="00A34E98"/>
    <w:rsid w:val="00A358BA"/>
    <w:rsid w:val="00A36118"/>
    <w:rsid w:val="00A3731B"/>
    <w:rsid w:val="00A377E3"/>
    <w:rsid w:val="00A37B0A"/>
    <w:rsid w:val="00A40355"/>
    <w:rsid w:val="00A4044A"/>
    <w:rsid w:val="00A407AE"/>
    <w:rsid w:val="00A40893"/>
    <w:rsid w:val="00A40CEA"/>
    <w:rsid w:val="00A41377"/>
    <w:rsid w:val="00A41FEA"/>
    <w:rsid w:val="00A421E5"/>
    <w:rsid w:val="00A4223D"/>
    <w:rsid w:val="00A42B7B"/>
    <w:rsid w:val="00A42FE5"/>
    <w:rsid w:val="00A43CE1"/>
    <w:rsid w:val="00A44439"/>
    <w:rsid w:val="00A45739"/>
    <w:rsid w:val="00A45FA0"/>
    <w:rsid w:val="00A46961"/>
    <w:rsid w:val="00A47555"/>
    <w:rsid w:val="00A502DD"/>
    <w:rsid w:val="00A50443"/>
    <w:rsid w:val="00A5044C"/>
    <w:rsid w:val="00A50CDF"/>
    <w:rsid w:val="00A51038"/>
    <w:rsid w:val="00A5267B"/>
    <w:rsid w:val="00A538FF"/>
    <w:rsid w:val="00A54320"/>
    <w:rsid w:val="00A547E4"/>
    <w:rsid w:val="00A55ADD"/>
    <w:rsid w:val="00A55D28"/>
    <w:rsid w:val="00A56113"/>
    <w:rsid w:val="00A57F9E"/>
    <w:rsid w:val="00A601CC"/>
    <w:rsid w:val="00A60B39"/>
    <w:rsid w:val="00A62F95"/>
    <w:rsid w:val="00A63AF4"/>
    <w:rsid w:val="00A63D1B"/>
    <w:rsid w:val="00A64267"/>
    <w:rsid w:val="00A64B1A"/>
    <w:rsid w:val="00A65024"/>
    <w:rsid w:val="00A65308"/>
    <w:rsid w:val="00A65B12"/>
    <w:rsid w:val="00A65BCD"/>
    <w:rsid w:val="00A667EF"/>
    <w:rsid w:val="00A67680"/>
    <w:rsid w:val="00A70BB7"/>
    <w:rsid w:val="00A71FAE"/>
    <w:rsid w:val="00A72014"/>
    <w:rsid w:val="00A72757"/>
    <w:rsid w:val="00A730A5"/>
    <w:rsid w:val="00A753B4"/>
    <w:rsid w:val="00A75CB0"/>
    <w:rsid w:val="00A76796"/>
    <w:rsid w:val="00A76798"/>
    <w:rsid w:val="00A778E5"/>
    <w:rsid w:val="00A80162"/>
    <w:rsid w:val="00A805FB"/>
    <w:rsid w:val="00A809C5"/>
    <w:rsid w:val="00A80C5E"/>
    <w:rsid w:val="00A82A4F"/>
    <w:rsid w:val="00A830DB"/>
    <w:rsid w:val="00A8453E"/>
    <w:rsid w:val="00A847A0"/>
    <w:rsid w:val="00A84FD4"/>
    <w:rsid w:val="00A878EC"/>
    <w:rsid w:val="00A9018C"/>
    <w:rsid w:val="00A90737"/>
    <w:rsid w:val="00A909DF"/>
    <w:rsid w:val="00A91EF5"/>
    <w:rsid w:val="00A9256A"/>
    <w:rsid w:val="00A93F4D"/>
    <w:rsid w:val="00A9460B"/>
    <w:rsid w:val="00A947A9"/>
    <w:rsid w:val="00A94B0A"/>
    <w:rsid w:val="00A95BEA"/>
    <w:rsid w:val="00A95DE8"/>
    <w:rsid w:val="00AA010F"/>
    <w:rsid w:val="00AA0A8D"/>
    <w:rsid w:val="00AA0BB7"/>
    <w:rsid w:val="00AA1945"/>
    <w:rsid w:val="00AA3881"/>
    <w:rsid w:val="00AA3BEF"/>
    <w:rsid w:val="00AA3F69"/>
    <w:rsid w:val="00AA4338"/>
    <w:rsid w:val="00AA4C87"/>
    <w:rsid w:val="00AA585B"/>
    <w:rsid w:val="00AA6948"/>
    <w:rsid w:val="00AA7467"/>
    <w:rsid w:val="00AB0FAF"/>
    <w:rsid w:val="00AB42F4"/>
    <w:rsid w:val="00AB48DF"/>
    <w:rsid w:val="00AB5220"/>
    <w:rsid w:val="00AC0859"/>
    <w:rsid w:val="00AC2F8B"/>
    <w:rsid w:val="00AC306D"/>
    <w:rsid w:val="00AC3BF9"/>
    <w:rsid w:val="00AC4155"/>
    <w:rsid w:val="00AC4A91"/>
    <w:rsid w:val="00AC4D87"/>
    <w:rsid w:val="00AC5B2C"/>
    <w:rsid w:val="00AC5F59"/>
    <w:rsid w:val="00AC606E"/>
    <w:rsid w:val="00AC68E5"/>
    <w:rsid w:val="00AC7828"/>
    <w:rsid w:val="00AD06D0"/>
    <w:rsid w:val="00AD0A11"/>
    <w:rsid w:val="00AD0C14"/>
    <w:rsid w:val="00AD20BD"/>
    <w:rsid w:val="00AD3409"/>
    <w:rsid w:val="00AD42FD"/>
    <w:rsid w:val="00AD54D5"/>
    <w:rsid w:val="00AD55BD"/>
    <w:rsid w:val="00AD5B72"/>
    <w:rsid w:val="00AD5EEB"/>
    <w:rsid w:val="00AD6359"/>
    <w:rsid w:val="00AD64FD"/>
    <w:rsid w:val="00AD73EB"/>
    <w:rsid w:val="00AD7897"/>
    <w:rsid w:val="00AD7CC0"/>
    <w:rsid w:val="00AE0123"/>
    <w:rsid w:val="00AE1571"/>
    <w:rsid w:val="00AE16D4"/>
    <w:rsid w:val="00AE176A"/>
    <w:rsid w:val="00AE2264"/>
    <w:rsid w:val="00AE24E3"/>
    <w:rsid w:val="00AE32A3"/>
    <w:rsid w:val="00AE3E51"/>
    <w:rsid w:val="00AE4485"/>
    <w:rsid w:val="00AE45B4"/>
    <w:rsid w:val="00AE4E41"/>
    <w:rsid w:val="00AE527E"/>
    <w:rsid w:val="00AE5F25"/>
    <w:rsid w:val="00AE6872"/>
    <w:rsid w:val="00AF1D53"/>
    <w:rsid w:val="00AF265A"/>
    <w:rsid w:val="00AF41F8"/>
    <w:rsid w:val="00AF4BBE"/>
    <w:rsid w:val="00AF4C35"/>
    <w:rsid w:val="00AF56E6"/>
    <w:rsid w:val="00AF5C41"/>
    <w:rsid w:val="00AF63AB"/>
    <w:rsid w:val="00B033DC"/>
    <w:rsid w:val="00B04C38"/>
    <w:rsid w:val="00B05226"/>
    <w:rsid w:val="00B061B3"/>
    <w:rsid w:val="00B06F4F"/>
    <w:rsid w:val="00B103FD"/>
    <w:rsid w:val="00B10738"/>
    <w:rsid w:val="00B11694"/>
    <w:rsid w:val="00B11DC6"/>
    <w:rsid w:val="00B122F0"/>
    <w:rsid w:val="00B125E9"/>
    <w:rsid w:val="00B1430D"/>
    <w:rsid w:val="00B15ABF"/>
    <w:rsid w:val="00B16323"/>
    <w:rsid w:val="00B165A7"/>
    <w:rsid w:val="00B1731D"/>
    <w:rsid w:val="00B17DE4"/>
    <w:rsid w:val="00B20ADB"/>
    <w:rsid w:val="00B2167F"/>
    <w:rsid w:val="00B22A22"/>
    <w:rsid w:val="00B23487"/>
    <w:rsid w:val="00B24A0C"/>
    <w:rsid w:val="00B26797"/>
    <w:rsid w:val="00B27281"/>
    <w:rsid w:val="00B302F9"/>
    <w:rsid w:val="00B312A9"/>
    <w:rsid w:val="00B31313"/>
    <w:rsid w:val="00B31C28"/>
    <w:rsid w:val="00B33AEF"/>
    <w:rsid w:val="00B33FD3"/>
    <w:rsid w:val="00B345D3"/>
    <w:rsid w:val="00B34C06"/>
    <w:rsid w:val="00B3699A"/>
    <w:rsid w:val="00B377EE"/>
    <w:rsid w:val="00B378B1"/>
    <w:rsid w:val="00B40AAD"/>
    <w:rsid w:val="00B416AA"/>
    <w:rsid w:val="00B4233C"/>
    <w:rsid w:val="00B42692"/>
    <w:rsid w:val="00B42B8B"/>
    <w:rsid w:val="00B434F5"/>
    <w:rsid w:val="00B43B62"/>
    <w:rsid w:val="00B44BFF"/>
    <w:rsid w:val="00B45CCA"/>
    <w:rsid w:val="00B46993"/>
    <w:rsid w:val="00B46D5F"/>
    <w:rsid w:val="00B47343"/>
    <w:rsid w:val="00B506AA"/>
    <w:rsid w:val="00B50EB7"/>
    <w:rsid w:val="00B520DF"/>
    <w:rsid w:val="00B52758"/>
    <w:rsid w:val="00B528AD"/>
    <w:rsid w:val="00B52AA6"/>
    <w:rsid w:val="00B53820"/>
    <w:rsid w:val="00B539B2"/>
    <w:rsid w:val="00B53F91"/>
    <w:rsid w:val="00B555F9"/>
    <w:rsid w:val="00B55BD3"/>
    <w:rsid w:val="00B56425"/>
    <w:rsid w:val="00B57AC8"/>
    <w:rsid w:val="00B57C5B"/>
    <w:rsid w:val="00B57E10"/>
    <w:rsid w:val="00B603CA"/>
    <w:rsid w:val="00B60465"/>
    <w:rsid w:val="00B60B58"/>
    <w:rsid w:val="00B61C94"/>
    <w:rsid w:val="00B637FD"/>
    <w:rsid w:val="00B63C5D"/>
    <w:rsid w:val="00B64224"/>
    <w:rsid w:val="00B6437C"/>
    <w:rsid w:val="00B647B4"/>
    <w:rsid w:val="00B65045"/>
    <w:rsid w:val="00B657C5"/>
    <w:rsid w:val="00B65B9B"/>
    <w:rsid w:val="00B6688F"/>
    <w:rsid w:val="00B669AC"/>
    <w:rsid w:val="00B66AB9"/>
    <w:rsid w:val="00B67DE8"/>
    <w:rsid w:val="00B7010D"/>
    <w:rsid w:val="00B7027B"/>
    <w:rsid w:val="00B7069C"/>
    <w:rsid w:val="00B7093D"/>
    <w:rsid w:val="00B7162E"/>
    <w:rsid w:val="00B73889"/>
    <w:rsid w:val="00B73DFF"/>
    <w:rsid w:val="00B7451C"/>
    <w:rsid w:val="00B7464F"/>
    <w:rsid w:val="00B76DEB"/>
    <w:rsid w:val="00B77D37"/>
    <w:rsid w:val="00B8035D"/>
    <w:rsid w:val="00B8073F"/>
    <w:rsid w:val="00B8240C"/>
    <w:rsid w:val="00B841E8"/>
    <w:rsid w:val="00B841F3"/>
    <w:rsid w:val="00B844F4"/>
    <w:rsid w:val="00B8480C"/>
    <w:rsid w:val="00B85797"/>
    <w:rsid w:val="00B86468"/>
    <w:rsid w:val="00B866B7"/>
    <w:rsid w:val="00B869B3"/>
    <w:rsid w:val="00B86F4E"/>
    <w:rsid w:val="00B8745D"/>
    <w:rsid w:val="00B87EDA"/>
    <w:rsid w:val="00B902E4"/>
    <w:rsid w:val="00B91B3E"/>
    <w:rsid w:val="00B93FC3"/>
    <w:rsid w:val="00B9429B"/>
    <w:rsid w:val="00B9620F"/>
    <w:rsid w:val="00B963A7"/>
    <w:rsid w:val="00B96FC3"/>
    <w:rsid w:val="00BA0EB4"/>
    <w:rsid w:val="00BA0FCA"/>
    <w:rsid w:val="00BA156D"/>
    <w:rsid w:val="00BA2388"/>
    <w:rsid w:val="00BA2485"/>
    <w:rsid w:val="00BA4BC2"/>
    <w:rsid w:val="00BA4CC6"/>
    <w:rsid w:val="00BA5046"/>
    <w:rsid w:val="00BA5464"/>
    <w:rsid w:val="00BA5CCA"/>
    <w:rsid w:val="00BA6BD7"/>
    <w:rsid w:val="00BB1CA1"/>
    <w:rsid w:val="00BB2A30"/>
    <w:rsid w:val="00BB3727"/>
    <w:rsid w:val="00BB3821"/>
    <w:rsid w:val="00BB3961"/>
    <w:rsid w:val="00BB52B3"/>
    <w:rsid w:val="00BB58B6"/>
    <w:rsid w:val="00BB58E1"/>
    <w:rsid w:val="00BB5BD3"/>
    <w:rsid w:val="00BB6C77"/>
    <w:rsid w:val="00BB739E"/>
    <w:rsid w:val="00BB7795"/>
    <w:rsid w:val="00BC1089"/>
    <w:rsid w:val="00BC1F88"/>
    <w:rsid w:val="00BC1FE4"/>
    <w:rsid w:val="00BC5C8A"/>
    <w:rsid w:val="00BC5D4D"/>
    <w:rsid w:val="00BC6E08"/>
    <w:rsid w:val="00BC7129"/>
    <w:rsid w:val="00BC72FB"/>
    <w:rsid w:val="00BC7464"/>
    <w:rsid w:val="00BD1958"/>
    <w:rsid w:val="00BD20C5"/>
    <w:rsid w:val="00BD3F1B"/>
    <w:rsid w:val="00BD5844"/>
    <w:rsid w:val="00BD5939"/>
    <w:rsid w:val="00BD6CC5"/>
    <w:rsid w:val="00BE1587"/>
    <w:rsid w:val="00BE177C"/>
    <w:rsid w:val="00BE1A56"/>
    <w:rsid w:val="00BE389E"/>
    <w:rsid w:val="00BE3B96"/>
    <w:rsid w:val="00BE3E23"/>
    <w:rsid w:val="00BE4189"/>
    <w:rsid w:val="00BE4783"/>
    <w:rsid w:val="00BE4B9E"/>
    <w:rsid w:val="00BE51BC"/>
    <w:rsid w:val="00BE69D4"/>
    <w:rsid w:val="00BE7518"/>
    <w:rsid w:val="00BE79E8"/>
    <w:rsid w:val="00BE7F55"/>
    <w:rsid w:val="00BF0BAF"/>
    <w:rsid w:val="00BF0EE8"/>
    <w:rsid w:val="00BF147C"/>
    <w:rsid w:val="00BF1D16"/>
    <w:rsid w:val="00BF2A9D"/>
    <w:rsid w:val="00BF2B5D"/>
    <w:rsid w:val="00BF3062"/>
    <w:rsid w:val="00BF4221"/>
    <w:rsid w:val="00BF4233"/>
    <w:rsid w:val="00BF4FF1"/>
    <w:rsid w:val="00BF5194"/>
    <w:rsid w:val="00BF61AF"/>
    <w:rsid w:val="00BF7226"/>
    <w:rsid w:val="00BF7DB1"/>
    <w:rsid w:val="00BF7DED"/>
    <w:rsid w:val="00C0042E"/>
    <w:rsid w:val="00C01B63"/>
    <w:rsid w:val="00C02034"/>
    <w:rsid w:val="00C0280A"/>
    <w:rsid w:val="00C02F08"/>
    <w:rsid w:val="00C03226"/>
    <w:rsid w:val="00C0403C"/>
    <w:rsid w:val="00C047A1"/>
    <w:rsid w:val="00C04B08"/>
    <w:rsid w:val="00C0546C"/>
    <w:rsid w:val="00C0600D"/>
    <w:rsid w:val="00C063AA"/>
    <w:rsid w:val="00C06961"/>
    <w:rsid w:val="00C10577"/>
    <w:rsid w:val="00C109B0"/>
    <w:rsid w:val="00C10FC7"/>
    <w:rsid w:val="00C12134"/>
    <w:rsid w:val="00C12E9E"/>
    <w:rsid w:val="00C139DD"/>
    <w:rsid w:val="00C15B3F"/>
    <w:rsid w:val="00C16238"/>
    <w:rsid w:val="00C163EF"/>
    <w:rsid w:val="00C204FD"/>
    <w:rsid w:val="00C21595"/>
    <w:rsid w:val="00C2299D"/>
    <w:rsid w:val="00C22C24"/>
    <w:rsid w:val="00C251C0"/>
    <w:rsid w:val="00C25A0F"/>
    <w:rsid w:val="00C27163"/>
    <w:rsid w:val="00C274BE"/>
    <w:rsid w:val="00C274F9"/>
    <w:rsid w:val="00C31917"/>
    <w:rsid w:val="00C3356E"/>
    <w:rsid w:val="00C34668"/>
    <w:rsid w:val="00C35658"/>
    <w:rsid w:val="00C35E8E"/>
    <w:rsid w:val="00C3612F"/>
    <w:rsid w:val="00C369B2"/>
    <w:rsid w:val="00C37208"/>
    <w:rsid w:val="00C37378"/>
    <w:rsid w:val="00C4162F"/>
    <w:rsid w:val="00C41CDA"/>
    <w:rsid w:val="00C41DB0"/>
    <w:rsid w:val="00C43B79"/>
    <w:rsid w:val="00C44A62"/>
    <w:rsid w:val="00C44F68"/>
    <w:rsid w:val="00C45045"/>
    <w:rsid w:val="00C45B5B"/>
    <w:rsid w:val="00C45E10"/>
    <w:rsid w:val="00C461BB"/>
    <w:rsid w:val="00C46883"/>
    <w:rsid w:val="00C478CD"/>
    <w:rsid w:val="00C5042A"/>
    <w:rsid w:val="00C5043B"/>
    <w:rsid w:val="00C50E18"/>
    <w:rsid w:val="00C51639"/>
    <w:rsid w:val="00C5202D"/>
    <w:rsid w:val="00C52C0B"/>
    <w:rsid w:val="00C55373"/>
    <w:rsid w:val="00C55555"/>
    <w:rsid w:val="00C557B4"/>
    <w:rsid w:val="00C55EE3"/>
    <w:rsid w:val="00C561B8"/>
    <w:rsid w:val="00C56484"/>
    <w:rsid w:val="00C56555"/>
    <w:rsid w:val="00C56728"/>
    <w:rsid w:val="00C56BDE"/>
    <w:rsid w:val="00C6015B"/>
    <w:rsid w:val="00C60242"/>
    <w:rsid w:val="00C60BA4"/>
    <w:rsid w:val="00C6123A"/>
    <w:rsid w:val="00C625CB"/>
    <w:rsid w:val="00C626D7"/>
    <w:rsid w:val="00C63DC0"/>
    <w:rsid w:val="00C64175"/>
    <w:rsid w:val="00C6449C"/>
    <w:rsid w:val="00C64A3E"/>
    <w:rsid w:val="00C6742E"/>
    <w:rsid w:val="00C67950"/>
    <w:rsid w:val="00C67EE1"/>
    <w:rsid w:val="00C70BA3"/>
    <w:rsid w:val="00C70D69"/>
    <w:rsid w:val="00C71978"/>
    <w:rsid w:val="00C72BF7"/>
    <w:rsid w:val="00C7326A"/>
    <w:rsid w:val="00C74657"/>
    <w:rsid w:val="00C7490B"/>
    <w:rsid w:val="00C75098"/>
    <w:rsid w:val="00C756FB"/>
    <w:rsid w:val="00C7602A"/>
    <w:rsid w:val="00C80999"/>
    <w:rsid w:val="00C80EB8"/>
    <w:rsid w:val="00C815BD"/>
    <w:rsid w:val="00C81CEB"/>
    <w:rsid w:val="00C823C1"/>
    <w:rsid w:val="00C8286B"/>
    <w:rsid w:val="00C8294C"/>
    <w:rsid w:val="00C83706"/>
    <w:rsid w:val="00C83862"/>
    <w:rsid w:val="00C83A10"/>
    <w:rsid w:val="00C85C00"/>
    <w:rsid w:val="00C87846"/>
    <w:rsid w:val="00C87D09"/>
    <w:rsid w:val="00C905AC"/>
    <w:rsid w:val="00C90781"/>
    <w:rsid w:val="00C90990"/>
    <w:rsid w:val="00C90AD7"/>
    <w:rsid w:val="00C91045"/>
    <w:rsid w:val="00C92338"/>
    <w:rsid w:val="00C92D49"/>
    <w:rsid w:val="00C92D99"/>
    <w:rsid w:val="00C9340D"/>
    <w:rsid w:val="00C93934"/>
    <w:rsid w:val="00C93B3D"/>
    <w:rsid w:val="00C95873"/>
    <w:rsid w:val="00C96E28"/>
    <w:rsid w:val="00C9737A"/>
    <w:rsid w:val="00C9774F"/>
    <w:rsid w:val="00C97B2A"/>
    <w:rsid w:val="00CA054B"/>
    <w:rsid w:val="00CA149B"/>
    <w:rsid w:val="00CA63C3"/>
    <w:rsid w:val="00CA6D7F"/>
    <w:rsid w:val="00CA7642"/>
    <w:rsid w:val="00CA7FB3"/>
    <w:rsid w:val="00CB0B26"/>
    <w:rsid w:val="00CB0C7A"/>
    <w:rsid w:val="00CB1D94"/>
    <w:rsid w:val="00CB272B"/>
    <w:rsid w:val="00CB2F90"/>
    <w:rsid w:val="00CB3C29"/>
    <w:rsid w:val="00CB4D44"/>
    <w:rsid w:val="00CB56E4"/>
    <w:rsid w:val="00CC031A"/>
    <w:rsid w:val="00CC044F"/>
    <w:rsid w:val="00CC1351"/>
    <w:rsid w:val="00CC1486"/>
    <w:rsid w:val="00CC18AE"/>
    <w:rsid w:val="00CC2C5E"/>
    <w:rsid w:val="00CC3284"/>
    <w:rsid w:val="00CC3521"/>
    <w:rsid w:val="00CC367A"/>
    <w:rsid w:val="00CC49C1"/>
    <w:rsid w:val="00CC49E4"/>
    <w:rsid w:val="00CC59FB"/>
    <w:rsid w:val="00CC7F09"/>
    <w:rsid w:val="00CD127D"/>
    <w:rsid w:val="00CD134C"/>
    <w:rsid w:val="00CD1B25"/>
    <w:rsid w:val="00CD1CED"/>
    <w:rsid w:val="00CD2746"/>
    <w:rsid w:val="00CD357B"/>
    <w:rsid w:val="00CD35D2"/>
    <w:rsid w:val="00CD36F6"/>
    <w:rsid w:val="00CD4340"/>
    <w:rsid w:val="00CD43C8"/>
    <w:rsid w:val="00CD43D1"/>
    <w:rsid w:val="00CD455C"/>
    <w:rsid w:val="00CD4F8A"/>
    <w:rsid w:val="00CD576B"/>
    <w:rsid w:val="00CD6CB5"/>
    <w:rsid w:val="00CD7BCB"/>
    <w:rsid w:val="00CE0F1B"/>
    <w:rsid w:val="00CE1783"/>
    <w:rsid w:val="00CE3236"/>
    <w:rsid w:val="00CE436F"/>
    <w:rsid w:val="00CE447B"/>
    <w:rsid w:val="00CE5DBF"/>
    <w:rsid w:val="00CE77DB"/>
    <w:rsid w:val="00CF0688"/>
    <w:rsid w:val="00CF2066"/>
    <w:rsid w:val="00CF2157"/>
    <w:rsid w:val="00CF2DC8"/>
    <w:rsid w:val="00CF2E53"/>
    <w:rsid w:val="00CF40A9"/>
    <w:rsid w:val="00CF5601"/>
    <w:rsid w:val="00CF5B88"/>
    <w:rsid w:val="00CF68B2"/>
    <w:rsid w:val="00D0038C"/>
    <w:rsid w:val="00D00815"/>
    <w:rsid w:val="00D00BE0"/>
    <w:rsid w:val="00D00CDD"/>
    <w:rsid w:val="00D00FCD"/>
    <w:rsid w:val="00D01746"/>
    <w:rsid w:val="00D02E48"/>
    <w:rsid w:val="00D03748"/>
    <w:rsid w:val="00D04352"/>
    <w:rsid w:val="00D0567A"/>
    <w:rsid w:val="00D058FE"/>
    <w:rsid w:val="00D05A41"/>
    <w:rsid w:val="00D06737"/>
    <w:rsid w:val="00D068A2"/>
    <w:rsid w:val="00D06E26"/>
    <w:rsid w:val="00D07AAA"/>
    <w:rsid w:val="00D10CB4"/>
    <w:rsid w:val="00D10DB4"/>
    <w:rsid w:val="00D11B14"/>
    <w:rsid w:val="00D12010"/>
    <w:rsid w:val="00D1416D"/>
    <w:rsid w:val="00D148B1"/>
    <w:rsid w:val="00D14B97"/>
    <w:rsid w:val="00D14FFE"/>
    <w:rsid w:val="00D15DEA"/>
    <w:rsid w:val="00D16C96"/>
    <w:rsid w:val="00D1746C"/>
    <w:rsid w:val="00D2072E"/>
    <w:rsid w:val="00D2140B"/>
    <w:rsid w:val="00D21784"/>
    <w:rsid w:val="00D227C1"/>
    <w:rsid w:val="00D22FED"/>
    <w:rsid w:val="00D245E7"/>
    <w:rsid w:val="00D25AFE"/>
    <w:rsid w:val="00D25F70"/>
    <w:rsid w:val="00D26AA4"/>
    <w:rsid w:val="00D27487"/>
    <w:rsid w:val="00D31475"/>
    <w:rsid w:val="00D3311F"/>
    <w:rsid w:val="00D34A02"/>
    <w:rsid w:val="00D3525A"/>
    <w:rsid w:val="00D3552B"/>
    <w:rsid w:val="00D35DF2"/>
    <w:rsid w:val="00D360BA"/>
    <w:rsid w:val="00D36B19"/>
    <w:rsid w:val="00D37A00"/>
    <w:rsid w:val="00D37BC0"/>
    <w:rsid w:val="00D444A0"/>
    <w:rsid w:val="00D444E8"/>
    <w:rsid w:val="00D44AE4"/>
    <w:rsid w:val="00D4562B"/>
    <w:rsid w:val="00D4566F"/>
    <w:rsid w:val="00D46745"/>
    <w:rsid w:val="00D46E1C"/>
    <w:rsid w:val="00D51495"/>
    <w:rsid w:val="00D515FB"/>
    <w:rsid w:val="00D53106"/>
    <w:rsid w:val="00D53A70"/>
    <w:rsid w:val="00D5405D"/>
    <w:rsid w:val="00D549D3"/>
    <w:rsid w:val="00D55D89"/>
    <w:rsid w:val="00D55FD6"/>
    <w:rsid w:val="00D560D5"/>
    <w:rsid w:val="00D563C5"/>
    <w:rsid w:val="00D56645"/>
    <w:rsid w:val="00D57A93"/>
    <w:rsid w:val="00D608C8"/>
    <w:rsid w:val="00D6093E"/>
    <w:rsid w:val="00D61577"/>
    <w:rsid w:val="00D6233A"/>
    <w:rsid w:val="00D627A2"/>
    <w:rsid w:val="00D62F6C"/>
    <w:rsid w:val="00D637AC"/>
    <w:rsid w:val="00D64162"/>
    <w:rsid w:val="00D64B6E"/>
    <w:rsid w:val="00D64B8C"/>
    <w:rsid w:val="00D6560E"/>
    <w:rsid w:val="00D66148"/>
    <w:rsid w:val="00D66575"/>
    <w:rsid w:val="00D666E0"/>
    <w:rsid w:val="00D6774C"/>
    <w:rsid w:val="00D7195B"/>
    <w:rsid w:val="00D7202D"/>
    <w:rsid w:val="00D72EE7"/>
    <w:rsid w:val="00D733A3"/>
    <w:rsid w:val="00D733FD"/>
    <w:rsid w:val="00D73808"/>
    <w:rsid w:val="00D74348"/>
    <w:rsid w:val="00D7444C"/>
    <w:rsid w:val="00D7614A"/>
    <w:rsid w:val="00D766DC"/>
    <w:rsid w:val="00D769E8"/>
    <w:rsid w:val="00D771E2"/>
    <w:rsid w:val="00D77B66"/>
    <w:rsid w:val="00D802AF"/>
    <w:rsid w:val="00D805A7"/>
    <w:rsid w:val="00D80A00"/>
    <w:rsid w:val="00D826AE"/>
    <w:rsid w:val="00D830F4"/>
    <w:rsid w:val="00D84193"/>
    <w:rsid w:val="00D8482F"/>
    <w:rsid w:val="00D84951"/>
    <w:rsid w:val="00D854A1"/>
    <w:rsid w:val="00D85FD9"/>
    <w:rsid w:val="00D8674F"/>
    <w:rsid w:val="00D869B6"/>
    <w:rsid w:val="00D86F00"/>
    <w:rsid w:val="00D8764A"/>
    <w:rsid w:val="00D87A92"/>
    <w:rsid w:val="00D9026C"/>
    <w:rsid w:val="00D908E4"/>
    <w:rsid w:val="00D9165C"/>
    <w:rsid w:val="00D92273"/>
    <w:rsid w:val="00D9276E"/>
    <w:rsid w:val="00D93EB2"/>
    <w:rsid w:val="00D949B3"/>
    <w:rsid w:val="00D95F21"/>
    <w:rsid w:val="00D9711C"/>
    <w:rsid w:val="00D978A5"/>
    <w:rsid w:val="00DA1D1B"/>
    <w:rsid w:val="00DA2E3A"/>
    <w:rsid w:val="00DA3031"/>
    <w:rsid w:val="00DA4939"/>
    <w:rsid w:val="00DA4D97"/>
    <w:rsid w:val="00DA541D"/>
    <w:rsid w:val="00DA6C06"/>
    <w:rsid w:val="00DA7E2F"/>
    <w:rsid w:val="00DB0271"/>
    <w:rsid w:val="00DB1116"/>
    <w:rsid w:val="00DB1627"/>
    <w:rsid w:val="00DB1649"/>
    <w:rsid w:val="00DB2250"/>
    <w:rsid w:val="00DB292A"/>
    <w:rsid w:val="00DB34D4"/>
    <w:rsid w:val="00DB4FE0"/>
    <w:rsid w:val="00DB56D2"/>
    <w:rsid w:val="00DB594C"/>
    <w:rsid w:val="00DB5D0F"/>
    <w:rsid w:val="00DB792C"/>
    <w:rsid w:val="00DC08F4"/>
    <w:rsid w:val="00DC0FE7"/>
    <w:rsid w:val="00DC23F5"/>
    <w:rsid w:val="00DC2426"/>
    <w:rsid w:val="00DC3A90"/>
    <w:rsid w:val="00DC4CA3"/>
    <w:rsid w:val="00DC5BA2"/>
    <w:rsid w:val="00DC5FB3"/>
    <w:rsid w:val="00DC64EC"/>
    <w:rsid w:val="00DC76C4"/>
    <w:rsid w:val="00DC7BE5"/>
    <w:rsid w:val="00DD14A6"/>
    <w:rsid w:val="00DD19CF"/>
    <w:rsid w:val="00DD1D5E"/>
    <w:rsid w:val="00DD2C9B"/>
    <w:rsid w:val="00DD358A"/>
    <w:rsid w:val="00DD447F"/>
    <w:rsid w:val="00DD4CD3"/>
    <w:rsid w:val="00DD5C82"/>
    <w:rsid w:val="00DD6990"/>
    <w:rsid w:val="00DD6B8D"/>
    <w:rsid w:val="00DD6BA6"/>
    <w:rsid w:val="00DD6DDD"/>
    <w:rsid w:val="00DD763D"/>
    <w:rsid w:val="00DE1078"/>
    <w:rsid w:val="00DE2F52"/>
    <w:rsid w:val="00DE318D"/>
    <w:rsid w:val="00DE35FA"/>
    <w:rsid w:val="00DE50D4"/>
    <w:rsid w:val="00DE582D"/>
    <w:rsid w:val="00DE5B03"/>
    <w:rsid w:val="00DE631A"/>
    <w:rsid w:val="00DF0ADD"/>
    <w:rsid w:val="00DF126B"/>
    <w:rsid w:val="00DF26F7"/>
    <w:rsid w:val="00DF2E89"/>
    <w:rsid w:val="00DF5690"/>
    <w:rsid w:val="00DF6E1A"/>
    <w:rsid w:val="00DF7036"/>
    <w:rsid w:val="00E00E95"/>
    <w:rsid w:val="00E01410"/>
    <w:rsid w:val="00E01D82"/>
    <w:rsid w:val="00E02355"/>
    <w:rsid w:val="00E026DB"/>
    <w:rsid w:val="00E02785"/>
    <w:rsid w:val="00E02E79"/>
    <w:rsid w:val="00E03018"/>
    <w:rsid w:val="00E03134"/>
    <w:rsid w:val="00E032BD"/>
    <w:rsid w:val="00E04B08"/>
    <w:rsid w:val="00E05562"/>
    <w:rsid w:val="00E0565D"/>
    <w:rsid w:val="00E07FBF"/>
    <w:rsid w:val="00E113CA"/>
    <w:rsid w:val="00E11BAE"/>
    <w:rsid w:val="00E13394"/>
    <w:rsid w:val="00E13FA8"/>
    <w:rsid w:val="00E14F04"/>
    <w:rsid w:val="00E1622F"/>
    <w:rsid w:val="00E17E9D"/>
    <w:rsid w:val="00E200E8"/>
    <w:rsid w:val="00E20C11"/>
    <w:rsid w:val="00E216AB"/>
    <w:rsid w:val="00E22977"/>
    <w:rsid w:val="00E22C6E"/>
    <w:rsid w:val="00E2373C"/>
    <w:rsid w:val="00E23A59"/>
    <w:rsid w:val="00E23B2F"/>
    <w:rsid w:val="00E25E33"/>
    <w:rsid w:val="00E26778"/>
    <w:rsid w:val="00E267C5"/>
    <w:rsid w:val="00E26F37"/>
    <w:rsid w:val="00E30CA8"/>
    <w:rsid w:val="00E30FAD"/>
    <w:rsid w:val="00E3279D"/>
    <w:rsid w:val="00E337C3"/>
    <w:rsid w:val="00E33B28"/>
    <w:rsid w:val="00E37162"/>
    <w:rsid w:val="00E371BA"/>
    <w:rsid w:val="00E37B33"/>
    <w:rsid w:val="00E37E9D"/>
    <w:rsid w:val="00E403DF"/>
    <w:rsid w:val="00E41F66"/>
    <w:rsid w:val="00E440BE"/>
    <w:rsid w:val="00E44AA5"/>
    <w:rsid w:val="00E44F7A"/>
    <w:rsid w:val="00E463CE"/>
    <w:rsid w:val="00E46810"/>
    <w:rsid w:val="00E46EBD"/>
    <w:rsid w:val="00E50222"/>
    <w:rsid w:val="00E513B8"/>
    <w:rsid w:val="00E5159D"/>
    <w:rsid w:val="00E51A13"/>
    <w:rsid w:val="00E51BD2"/>
    <w:rsid w:val="00E524DF"/>
    <w:rsid w:val="00E5258C"/>
    <w:rsid w:val="00E52A52"/>
    <w:rsid w:val="00E52C09"/>
    <w:rsid w:val="00E52F06"/>
    <w:rsid w:val="00E53889"/>
    <w:rsid w:val="00E5398C"/>
    <w:rsid w:val="00E562CC"/>
    <w:rsid w:val="00E57058"/>
    <w:rsid w:val="00E60131"/>
    <w:rsid w:val="00E60467"/>
    <w:rsid w:val="00E60DD5"/>
    <w:rsid w:val="00E616B9"/>
    <w:rsid w:val="00E617D7"/>
    <w:rsid w:val="00E61B03"/>
    <w:rsid w:val="00E61BB4"/>
    <w:rsid w:val="00E61F9D"/>
    <w:rsid w:val="00E62BBF"/>
    <w:rsid w:val="00E62D98"/>
    <w:rsid w:val="00E630DC"/>
    <w:rsid w:val="00E638A1"/>
    <w:rsid w:val="00E6461C"/>
    <w:rsid w:val="00E65122"/>
    <w:rsid w:val="00E65664"/>
    <w:rsid w:val="00E656B3"/>
    <w:rsid w:val="00E66A9D"/>
    <w:rsid w:val="00E66B62"/>
    <w:rsid w:val="00E676E7"/>
    <w:rsid w:val="00E67D16"/>
    <w:rsid w:val="00E70217"/>
    <w:rsid w:val="00E70469"/>
    <w:rsid w:val="00E70847"/>
    <w:rsid w:val="00E70EDB"/>
    <w:rsid w:val="00E715B1"/>
    <w:rsid w:val="00E71CB3"/>
    <w:rsid w:val="00E72E55"/>
    <w:rsid w:val="00E7340B"/>
    <w:rsid w:val="00E73C9A"/>
    <w:rsid w:val="00E73E38"/>
    <w:rsid w:val="00E73E89"/>
    <w:rsid w:val="00E740D3"/>
    <w:rsid w:val="00E74FE6"/>
    <w:rsid w:val="00E75618"/>
    <w:rsid w:val="00E7678B"/>
    <w:rsid w:val="00E779FE"/>
    <w:rsid w:val="00E80D46"/>
    <w:rsid w:val="00E81FDB"/>
    <w:rsid w:val="00E82412"/>
    <w:rsid w:val="00E837D0"/>
    <w:rsid w:val="00E853FB"/>
    <w:rsid w:val="00E85E8F"/>
    <w:rsid w:val="00E87E9C"/>
    <w:rsid w:val="00E90FE5"/>
    <w:rsid w:val="00E921FB"/>
    <w:rsid w:val="00E93628"/>
    <w:rsid w:val="00E94561"/>
    <w:rsid w:val="00E948EC"/>
    <w:rsid w:val="00E953BD"/>
    <w:rsid w:val="00E954A0"/>
    <w:rsid w:val="00E957A4"/>
    <w:rsid w:val="00E95BED"/>
    <w:rsid w:val="00E9777B"/>
    <w:rsid w:val="00E97FAE"/>
    <w:rsid w:val="00EA0E52"/>
    <w:rsid w:val="00EA231F"/>
    <w:rsid w:val="00EA38DE"/>
    <w:rsid w:val="00EA4283"/>
    <w:rsid w:val="00EA4C1F"/>
    <w:rsid w:val="00EA4F3E"/>
    <w:rsid w:val="00EA53FA"/>
    <w:rsid w:val="00EA59C1"/>
    <w:rsid w:val="00EA5EA0"/>
    <w:rsid w:val="00EA6EB5"/>
    <w:rsid w:val="00EA7333"/>
    <w:rsid w:val="00EB0344"/>
    <w:rsid w:val="00EB07A8"/>
    <w:rsid w:val="00EB07F8"/>
    <w:rsid w:val="00EB08B6"/>
    <w:rsid w:val="00EB0EFF"/>
    <w:rsid w:val="00EB1C9C"/>
    <w:rsid w:val="00EB1CF0"/>
    <w:rsid w:val="00EB2160"/>
    <w:rsid w:val="00EB26E4"/>
    <w:rsid w:val="00EB2809"/>
    <w:rsid w:val="00EB4242"/>
    <w:rsid w:val="00EB45C1"/>
    <w:rsid w:val="00EB5358"/>
    <w:rsid w:val="00EB56FC"/>
    <w:rsid w:val="00EB70C8"/>
    <w:rsid w:val="00EB7DB1"/>
    <w:rsid w:val="00EC0757"/>
    <w:rsid w:val="00EC09FE"/>
    <w:rsid w:val="00EC2F06"/>
    <w:rsid w:val="00EC36D9"/>
    <w:rsid w:val="00EC3766"/>
    <w:rsid w:val="00EC562F"/>
    <w:rsid w:val="00EC5B41"/>
    <w:rsid w:val="00EC7520"/>
    <w:rsid w:val="00EC77D3"/>
    <w:rsid w:val="00ED2970"/>
    <w:rsid w:val="00ED4149"/>
    <w:rsid w:val="00ED423B"/>
    <w:rsid w:val="00ED472F"/>
    <w:rsid w:val="00ED5325"/>
    <w:rsid w:val="00ED61EB"/>
    <w:rsid w:val="00ED720B"/>
    <w:rsid w:val="00ED7BBA"/>
    <w:rsid w:val="00ED7E76"/>
    <w:rsid w:val="00EE01CA"/>
    <w:rsid w:val="00EE1135"/>
    <w:rsid w:val="00EE1319"/>
    <w:rsid w:val="00EE1B00"/>
    <w:rsid w:val="00EE2DDB"/>
    <w:rsid w:val="00EE50D2"/>
    <w:rsid w:val="00EE5613"/>
    <w:rsid w:val="00EE6E0C"/>
    <w:rsid w:val="00EF0625"/>
    <w:rsid w:val="00EF0951"/>
    <w:rsid w:val="00EF1248"/>
    <w:rsid w:val="00EF1A77"/>
    <w:rsid w:val="00EF1E78"/>
    <w:rsid w:val="00EF1FC7"/>
    <w:rsid w:val="00EF21D6"/>
    <w:rsid w:val="00EF2BFD"/>
    <w:rsid w:val="00EF36C7"/>
    <w:rsid w:val="00EF41FD"/>
    <w:rsid w:val="00EF4993"/>
    <w:rsid w:val="00EF5A77"/>
    <w:rsid w:val="00EF6382"/>
    <w:rsid w:val="00EF6976"/>
    <w:rsid w:val="00EF6B09"/>
    <w:rsid w:val="00EF72ED"/>
    <w:rsid w:val="00EF74CF"/>
    <w:rsid w:val="00EF75A0"/>
    <w:rsid w:val="00EF7D6D"/>
    <w:rsid w:val="00F00264"/>
    <w:rsid w:val="00F00D3E"/>
    <w:rsid w:val="00F020A3"/>
    <w:rsid w:val="00F026AB"/>
    <w:rsid w:val="00F03B94"/>
    <w:rsid w:val="00F03FE2"/>
    <w:rsid w:val="00F044C2"/>
    <w:rsid w:val="00F049B4"/>
    <w:rsid w:val="00F067BA"/>
    <w:rsid w:val="00F06F9F"/>
    <w:rsid w:val="00F1064D"/>
    <w:rsid w:val="00F11138"/>
    <w:rsid w:val="00F1217C"/>
    <w:rsid w:val="00F123F6"/>
    <w:rsid w:val="00F12906"/>
    <w:rsid w:val="00F12C90"/>
    <w:rsid w:val="00F12E0B"/>
    <w:rsid w:val="00F15001"/>
    <w:rsid w:val="00F15AF0"/>
    <w:rsid w:val="00F16034"/>
    <w:rsid w:val="00F16C8E"/>
    <w:rsid w:val="00F177E0"/>
    <w:rsid w:val="00F17A96"/>
    <w:rsid w:val="00F20CBC"/>
    <w:rsid w:val="00F210DC"/>
    <w:rsid w:val="00F2120F"/>
    <w:rsid w:val="00F21424"/>
    <w:rsid w:val="00F216AE"/>
    <w:rsid w:val="00F217D1"/>
    <w:rsid w:val="00F21AF2"/>
    <w:rsid w:val="00F21E3B"/>
    <w:rsid w:val="00F224E9"/>
    <w:rsid w:val="00F23453"/>
    <w:rsid w:val="00F2406D"/>
    <w:rsid w:val="00F24890"/>
    <w:rsid w:val="00F24F41"/>
    <w:rsid w:val="00F25C0E"/>
    <w:rsid w:val="00F25E60"/>
    <w:rsid w:val="00F268D8"/>
    <w:rsid w:val="00F26C3E"/>
    <w:rsid w:val="00F27743"/>
    <w:rsid w:val="00F278C5"/>
    <w:rsid w:val="00F27DF5"/>
    <w:rsid w:val="00F30758"/>
    <w:rsid w:val="00F30786"/>
    <w:rsid w:val="00F32172"/>
    <w:rsid w:val="00F32696"/>
    <w:rsid w:val="00F358E2"/>
    <w:rsid w:val="00F3628B"/>
    <w:rsid w:val="00F370D4"/>
    <w:rsid w:val="00F37A91"/>
    <w:rsid w:val="00F41207"/>
    <w:rsid w:val="00F41330"/>
    <w:rsid w:val="00F423E1"/>
    <w:rsid w:val="00F4258E"/>
    <w:rsid w:val="00F43477"/>
    <w:rsid w:val="00F4606D"/>
    <w:rsid w:val="00F46A89"/>
    <w:rsid w:val="00F50BA7"/>
    <w:rsid w:val="00F5163A"/>
    <w:rsid w:val="00F51D30"/>
    <w:rsid w:val="00F52958"/>
    <w:rsid w:val="00F551B2"/>
    <w:rsid w:val="00F5603B"/>
    <w:rsid w:val="00F560E7"/>
    <w:rsid w:val="00F56C90"/>
    <w:rsid w:val="00F56E47"/>
    <w:rsid w:val="00F574A6"/>
    <w:rsid w:val="00F57ED1"/>
    <w:rsid w:val="00F603B7"/>
    <w:rsid w:val="00F6097B"/>
    <w:rsid w:val="00F62184"/>
    <w:rsid w:val="00F62493"/>
    <w:rsid w:val="00F636BA"/>
    <w:rsid w:val="00F64043"/>
    <w:rsid w:val="00F64334"/>
    <w:rsid w:val="00F648FF"/>
    <w:rsid w:val="00F64AA4"/>
    <w:rsid w:val="00F64D10"/>
    <w:rsid w:val="00F652F3"/>
    <w:rsid w:val="00F656B7"/>
    <w:rsid w:val="00F65730"/>
    <w:rsid w:val="00F66027"/>
    <w:rsid w:val="00F66255"/>
    <w:rsid w:val="00F66ED6"/>
    <w:rsid w:val="00F67B86"/>
    <w:rsid w:val="00F67D39"/>
    <w:rsid w:val="00F67EC7"/>
    <w:rsid w:val="00F705A8"/>
    <w:rsid w:val="00F718F9"/>
    <w:rsid w:val="00F7248E"/>
    <w:rsid w:val="00F724F2"/>
    <w:rsid w:val="00F727C0"/>
    <w:rsid w:val="00F7298A"/>
    <w:rsid w:val="00F74998"/>
    <w:rsid w:val="00F74A03"/>
    <w:rsid w:val="00F74B20"/>
    <w:rsid w:val="00F753A8"/>
    <w:rsid w:val="00F76119"/>
    <w:rsid w:val="00F7613F"/>
    <w:rsid w:val="00F81410"/>
    <w:rsid w:val="00F82842"/>
    <w:rsid w:val="00F8304B"/>
    <w:rsid w:val="00F83421"/>
    <w:rsid w:val="00F84C4D"/>
    <w:rsid w:val="00F85411"/>
    <w:rsid w:val="00F862A6"/>
    <w:rsid w:val="00F86633"/>
    <w:rsid w:val="00F86643"/>
    <w:rsid w:val="00F86B00"/>
    <w:rsid w:val="00F87EEC"/>
    <w:rsid w:val="00F90356"/>
    <w:rsid w:val="00F904E3"/>
    <w:rsid w:val="00F908BE"/>
    <w:rsid w:val="00F90FF8"/>
    <w:rsid w:val="00F91C16"/>
    <w:rsid w:val="00F926C3"/>
    <w:rsid w:val="00F92DB8"/>
    <w:rsid w:val="00F93563"/>
    <w:rsid w:val="00F936AB"/>
    <w:rsid w:val="00F93F18"/>
    <w:rsid w:val="00F96392"/>
    <w:rsid w:val="00F9678A"/>
    <w:rsid w:val="00F975FC"/>
    <w:rsid w:val="00FA0424"/>
    <w:rsid w:val="00FA0F01"/>
    <w:rsid w:val="00FA1A79"/>
    <w:rsid w:val="00FA3000"/>
    <w:rsid w:val="00FA4D99"/>
    <w:rsid w:val="00FA51C6"/>
    <w:rsid w:val="00FA590E"/>
    <w:rsid w:val="00FA5A98"/>
    <w:rsid w:val="00FA5B83"/>
    <w:rsid w:val="00FA5E2F"/>
    <w:rsid w:val="00FA6DA1"/>
    <w:rsid w:val="00FA7A4C"/>
    <w:rsid w:val="00FA7E79"/>
    <w:rsid w:val="00FB077F"/>
    <w:rsid w:val="00FB0CE5"/>
    <w:rsid w:val="00FB1739"/>
    <w:rsid w:val="00FB1910"/>
    <w:rsid w:val="00FB1A54"/>
    <w:rsid w:val="00FB2A9F"/>
    <w:rsid w:val="00FB3348"/>
    <w:rsid w:val="00FB36BE"/>
    <w:rsid w:val="00FB3A85"/>
    <w:rsid w:val="00FB3AFB"/>
    <w:rsid w:val="00FB40B7"/>
    <w:rsid w:val="00FB546F"/>
    <w:rsid w:val="00FB5F0B"/>
    <w:rsid w:val="00FB6380"/>
    <w:rsid w:val="00FB6653"/>
    <w:rsid w:val="00FB781D"/>
    <w:rsid w:val="00FC0C0A"/>
    <w:rsid w:val="00FC13BA"/>
    <w:rsid w:val="00FC1FBE"/>
    <w:rsid w:val="00FC2197"/>
    <w:rsid w:val="00FC3D49"/>
    <w:rsid w:val="00FC48E9"/>
    <w:rsid w:val="00FC4BAF"/>
    <w:rsid w:val="00FC4D6B"/>
    <w:rsid w:val="00FC6C02"/>
    <w:rsid w:val="00FC7125"/>
    <w:rsid w:val="00FC7AFB"/>
    <w:rsid w:val="00FD03C9"/>
    <w:rsid w:val="00FD09D5"/>
    <w:rsid w:val="00FD1BC7"/>
    <w:rsid w:val="00FD323D"/>
    <w:rsid w:val="00FD3354"/>
    <w:rsid w:val="00FD4A12"/>
    <w:rsid w:val="00FD5669"/>
    <w:rsid w:val="00FD6380"/>
    <w:rsid w:val="00FD6967"/>
    <w:rsid w:val="00FD7FC5"/>
    <w:rsid w:val="00FE0560"/>
    <w:rsid w:val="00FE08AE"/>
    <w:rsid w:val="00FE0E44"/>
    <w:rsid w:val="00FE1924"/>
    <w:rsid w:val="00FE263E"/>
    <w:rsid w:val="00FE2F3E"/>
    <w:rsid w:val="00FE31B5"/>
    <w:rsid w:val="00FE538F"/>
    <w:rsid w:val="00FE55CC"/>
    <w:rsid w:val="00FE5859"/>
    <w:rsid w:val="00FE5BC0"/>
    <w:rsid w:val="00FE5F5C"/>
    <w:rsid w:val="00FE6A26"/>
    <w:rsid w:val="00FE71BD"/>
    <w:rsid w:val="00FE7997"/>
    <w:rsid w:val="00FF0CA5"/>
    <w:rsid w:val="00FF114A"/>
    <w:rsid w:val="00FF20A1"/>
    <w:rsid w:val="00FF319D"/>
    <w:rsid w:val="00FF3315"/>
    <w:rsid w:val="00FF361F"/>
    <w:rsid w:val="00FF567A"/>
    <w:rsid w:val="00FF57B4"/>
    <w:rsid w:val="00FF65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D"/>
    <w:pPr>
      <w:spacing w:after="200" w:line="276" w:lineRule="auto"/>
    </w:pPr>
    <w:rPr>
      <w:sz w:val="22"/>
      <w:szCs w:val="22"/>
      <w:lang w:val="en-US"/>
    </w:rPr>
  </w:style>
  <w:style w:type="paragraph" w:styleId="Heading1">
    <w:name w:val="heading 1"/>
    <w:basedOn w:val="Normal"/>
    <w:next w:val="Normal"/>
    <w:link w:val="Heading1Char"/>
    <w:uiPriority w:val="9"/>
    <w:qFormat/>
    <w:rsid w:val="00E676E7"/>
    <w:pPr>
      <w:keepNext/>
      <w:keepLines/>
      <w:spacing w:before="480" w:after="0"/>
      <w:outlineLvl w:val="0"/>
    </w:pPr>
    <w:rPr>
      <w:rFonts w:ascii="Cambria" w:eastAsia="Times New Roman" w:hAnsi="Cambria" w:cs="Times New Roman"/>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link w:val="Heading1"/>
    <w:uiPriority w:val="9"/>
    <w:rsid w:val="00E676E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075FF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rPr>
  </w:style>
  <w:style w:type="character" w:customStyle="1" w:styleId="TitleChar">
    <w:name w:val="Title Char"/>
    <w:link w:val="Title"/>
    <w:uiPriority w:val="10"/>
    <w:rsid w:val="00075FF9"/>
    <w:rPr>
      <w:rFonts w:ascii="Cambria" w:eastAsia="Times New Roman" w:hAnsi="Cambria" w:cs="Times New Roman"/>
      <w:color w:val="17365D"/>
      <w:spacing w:val="5"/>
      <w:kern w:val="28"/>
      <w:sz w:val="52"/>
      <w:szCs w:val="52"/>
    </w:rPr>
  </w:style>
  <w:style w:type="paragraph" w:styleId="NoSpacing">
    <w:name w:val="No Spacing"/>
    <w:link w:val="NoSpacingChar"/>
    <w:uiPriority w:val="1"/>
    <w:qFormat/>
    <w:rsid w:val="00E94561"/>
    <w:rPr>
      <w:rFonts w:eastAsia="Times New Roman"/>
      <w:lang w:val="en-US"/>
    </w:rPr>
  </w:style>
  <w:style w:type="character" w:customStyle="1" w:styleId="NoSpacingChar">
    <w:name w:val="No Spacing Char"/>
    <w:link w:val="NoSpacing"/>
    <w:uiPriority w:val="1"/>
    <w:rsid w:val="00E94561"/>
    <w:rPr>
      <w:rFonts w:eastAsia="Times New Roman"/>
      <w:lang w:val="en-US" w:eastAsia="en-US" w:bidi="ar-SA"/>
    </w:rPr>
  </w:style>
  <w:style w:type="character" w:styleId="CommentReference">
    <w:name w:val="annotation reference"/>
    <w:uiPriority w:val="99"/>
    <w:semiHidden/>
    <w:unhideWhenUsed/>
    <w:rsid w:val="007165EC"/>
    <w:rPr>
      <w:sz w:val="16"/>
      <w:szCs w:val="16"/>
    </w:rPr>
  </w:style>
  <w:style w:type="paragraph" w:styleId="CommentText">
    <w:name w:val="annotation text"/>
    <w:basedOn w:val="Normal"/>
    <w:link w:val="CommentTextChar"/>
    <w:uiPriority w:val="99"/>
    <w:semiHidden/>
    <w:unhideWhenUsed/>
    <w:rsid w:val="007165EC"/>
    <w:pPr>
      <w:spacing w:line="240" w:lineRule="auto"/>
    </w:pPr>
    <w:rPr>
      <w:rFonts w:cs="Times New Roman"/>
      <w:sz w:val="20"/>
      <w:szCs w:val="20"/>
      <w:lang/>
    </w:rPr>
  </w:style>
  <w:style w:type="character" w:customStyle="1" w:styleId="CommentTextChar">
    <w:name w:val="Comment Text Char"/>
    <w:link w:val="CommentText"/>
    <w:uiPriority w:val="99"/>
    <w:semiHidden/>
    <w:rsid w:val="007165EC"/>
    <w:rPr>
      <w:sz w:val="20"/>
      <w:szCs w:val="20"/>
    </w:rPr>
  </w:style>
  <w:style w:type="paragraph" w:styleId="CommentSubject">
    <w:name w:val="annotation subject"/>
    <w:basedOn w:val="CommentText"/>
    <w:next w:val="CommentText"/>
    <w:link w:val="CommentSubjectChar"/>
    <w:uiPriority w:val="99"/>
    <w:semiHidden/>
    <w:unhideWhenUsed/>
    <w:rsid w:val="007165EC"/>
    <w:rPr>
      <w:b/>
      <w:bCs/>
    </w:rPr>
  </w:style>
  <w:style w:type="character" w:customStyle="1" w:styleId="CommentSubjectChar">
    <w:name w:val="Comment Subject Char"/>
    <w:link w:val="CommentSubject"/>
    <w:uiPriority w:val="99"/>
    <w:semiHidden/>
    <w:rsid w:val="007165EC"/>
    <w:rPr>
      <w:b/>
      <w:bCs/>
      <w:sz w:val="20"/>
      <w:szCs w:val="20"/>
    </w:rPr>
  </w:style>
  <w:style w:type="character" w:styleId="Strong">
    <w:name w:val="Strong"/>
    <w:uiPriority w:val="22"/>
    <w:qFormat/>
    <w:rsid w:val="007F69BD"/>
    <w:rPr>
      <w:b/>
      <w:bCs/>
    </w:rPr>
  </w:style>
  <w:style w:type="paragraph" w:styleId="NormalWeb">
    <w:name w:val="Normal (Web)"/>
    <w:basedOn w:val="Normal"/>
    <w:uiPriority w:val="99"/>
    <w:unhideWhenUsed/>
    <w:rsid w:val="003E716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302F9"/>
    <w:rPr>
      <w:b/>
      <w:bCs/>
      <w:sz w:val="20"/>
      <w:szCs w:val="20"/>
    </w:rPr>
  </w:style>
  <w:style w:type="character" w:customStyle="1" w:styleId="hscoswrapper">
    <w:name w:val="hs_cos_wrapper"/>
    <w:basedOn w:val="DefaultParagraphFont"/>
    <w:rsid w:val="003C0AAB"/>
  </w:style>
  <w:style w:type="paragraph" w:styleId="HTMLPreformatted">
    <w:name w:val="HTML Preformatted"/>
    <w:basedOn w:val="Normal"/>
    <w:link w:val="HTMLPreformattedChar"/>
    <w:uiPriority w:val="99"/>
    <w:semiHidden/>
    <w:unhideWhenUsed/>
    <w:rsid w:val="0033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link w:val="HTMLPreformatted"/>
    <w:uiPriority w:val="99"/>
    <w:semiHidden/>
    <w:rsid w:val="003376AE"/>
    <w:rPr>
      <w:rFonts w:ascii="Courier New" w:eastAsia="Times New Roman" w:hAnsi="Courier New" w:cs="Courier New"/>
    </w:rPr>
  </w:style>
  <w:style w:type="character" w:customStyle="1" w:styleId="tl8wme">
    <w:name w:val="tl8wme"/>
    <w:basedOn w:val="DefaultParagraphFont"/>
    <w:rsid w:val="00535010"/>
  </w:style>
  <w:style w:type="character" w:customStyle="1" w:styleId="nlmhfd">
    <w:name w:val="nlmhfd"/>
    <w:basedOn w:val="DefaultParagraphFont"/>
    <w:rsid w:val="00130A6B"/>
  </w:style>
  <w:style w:type="character" w:customStyle="1" w:styleId="plgihb">
    <w:name w:val="plgihb"/>
    <w:basedOn w:val="DefaultParagraphFont"/>
    <w:rsid w:val="00130A6B"/>
  </w:style>
  <w:style w:type="character" w:customStyle="1" w:styleId="notranslate">
    <w:name w:val="notranslate"/>
    <w:basedOn w:val="DefaultParagraphFont"/>
    <w:rsid w:val="00E33B28"/>
  </w:style>
  <w:style w:type="paragraph" w:styleId="TOCHeading">
    <w:name w:val="TOC Heading"/>
    <w:basedOn w:val="Heading1"/>
    <w:next w:val="Normal"/>
    <w:uiPriority w:val="39"/>
    <w:unhideWhenUsed/>
    <w:qFormat/>
    <w:rsid w:val="00237567"/>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237567"/>
    <w:pPr>
      <w:spacing w:after="100"/>
    </w:pPr>
  </w:style>
  <w:style w:type="character" w:styleId="Hyperlink">
    <w:name w:val="Hyperlink"/>
    <w:basedOn w:val="DefaultParagraphFont"/>
    <w:uiPriority w:val="99"/>
    <w:unhideWhenUsed/>
    <w:rsid w:val="0023756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7655487">
      <w:bodyDiv w:val="1"/>
      <w:marLeft w:val="0"/>
      <w:marRight w:val="0"/>
      <w:marTop w:val="0"/>
      <w:marBottom w:val="0"/>
      <w:divBdr>
        <w:top w:val="none" w:sz="0" w:space="0" w:color="auto"/>
        <w:left w:val="none" w:sz="0" w:space="0" w:color="auto"/>
        <w:bottom w:val="none" w:sz="0" w:space="0" w:color="auto"/>
        <w:right w:val="none" w:sz="0" w:space="0" w:color="auto"/>
      </w:divBdr>
    </w:div>
    <w:div w:id="243035812">
      <w:bodyDiv w:val="1"/>
      <w:marLeft w:val="0"/>
      <w:marRight w:val="0"/>
      <w:marTop w:val="0"/>
      <w:marBottom w:val="0"/>
      <w:divBdr>
        <w:top w:val="none" w:sz="0" w:space="0" w:color="auto"/>
        <w:left w:val="none" w:sz="0" w:space="0" w:color="auto"/>
        <w:bottom w:val="none" w:sz="0" w:space="0" w:color="auto"/>
        <w:right w:val="none" w:sz="0" w:space="0" w:color="auto"/>
      </w:divBdr>
    </w:div>
    <w:div w:id="334109964">
      <w:bodyDiv w:val="1"/>
      <w:marLeft w:val="0"/>
      <w:marRight w:val="0"/>
      <w:marTop w:val="0"/>
      <w:marBottom w:val="0"/>
      <w:divBdr>
        <w:top w:val="none" w:sz="0" w:space="0" w:color="auto"/>
        <w:left w:val="none" w:sz="0" w:space="0" w:color="auto"/>
        <w:bottom w:val="none" w:sz="0" w:space="0" w:color="auto"/>
        <w:right w:val="none" w:sz="0" w:space="0" w:color="auto"/>
      </w:divBdr>
      <w:divsChild>
        <w:div w:id="1740859310">
          <w:marLeft w:val="0"/>
          <w:marRight w:val="0"/>
          <w:marTop w:val="0"/>
          <w:marBottom w:val="0"/>
          <w:divBdr>
            <w:top w:val="none" w:sz="0" w:space="0" w:color="auto"/>
            <w:left w:val="none" w:sz="0" w:space="0" w:color="auto"/>
            <w:bottom w:val="none" w:sz="0" w:space="0" w:color="auto"/>
            <w:right w:val="none" w:sz="0" w:space="0" w:color="auto"/>
          </w:divBdr>
          <w:divsChild>
            <w:div w:id="1729763746">
              <w:marLeft w:val="0"/>
              <w:marRight w:val="0"/>
              <w:marTop w:val="0"/>
              <w:marBottom w:val="0"/>
              <w:divBdr>
                <w:top w:val="none" w:sz="0" w:space="0" w:color="auto"/>
                <w:left w:val="none" w:sz="0" w:space="0" w:color="auto"/>
                <w:bottom w:val="none" w:sz="0" w:space="0" w:color="auto"/>
                <w:right w:val="none" w:sz="0" w:space="0" w:color="auto"/>
              </w:divBdr>
              <w:divsChild>
                <w:div w:id="569921671">
                  <w:marLeft w:val="0"/>
                  <w:marRight w:val="0"/>
                  <w:marTop w:val="0"/>
                  <w:marBottom w:val="0"/>
                  <w:divBdr>
                    <w:top w:val="none" w:sz="0" w:space="0" w:color="auto"/>
                    <w:left w:val="none" w:sz="0" w:space="0" w:color="auto"/>
                    <w:bottom w:val="none" w:sz="0" w:space="0" w:color="auto"/>
                    <w:right w:val="none" w:sz="0" w:space="0" w:color="auto"/>
                  </w:divBdr>
                  <w:divsChild>
                    <w:div w:id="1739282062">
                      <w:marLeft w:val="0"/>
                      <w:marRight w:val="0"/>
                      <w:marTop w:val="0"/>
                      <w:marBottom w:val="0"/>
                      <w:divBdr>
                        <w:top w:val="none" w:sz="0" w:space="0" w:color="auto"/>
                        <w:left w:val="none" w:sz="0" w:space="0" w:color="auto"/>
                        <w:bottom w:val="none" w:sz="0" w:space="0" w:color="auto"/>
                        <w:right w:val="none" w:sz="0" w:space="0" w:color="auto"/>
                      </w:divBdr>
                      <w:divsChild>
                        <w:div w:id="736783657">
                          <w:marLeft w:val="0"/>
                          <w:marRight w:val="0"/>
                          <w:marTop w:val="0"/>
                          <w:marBottom w:val="0"/>
                          <w:divBdr>
                            <w:top w:val="none" w:sz="0" w:space="0" w:color="auto"/>
                            <w:left w:val="none" w:sz="0" w:space="0" w:color="auto"/>
                            <w:bottom w:val="none" w:sz="0" w:space="0" w:color="auto"/>
                            <w:right w:val="none" w:sz="0" w:space="0" w:color="auto"/>
                          </w:divBdr>
                          <w:divsChild>
                            <w:div w:id="1141650930">
                              <w:marLeft w:val="2250"/>
                              <w:marRight w:val="3960"/>
                              <w:marTop w:val="0"/>
                              <w:marBottom w:val="0"/>
                              <w:divBdr>
                                <w:top w:val="none" w:sz="0" w:space="0" w:color="auto"/>
                                <w:left w:val="none" w:sz="0" w:space="0" w:color="auto"/>
                                <w:bottom w:val="none" w:sz="0" w:space="0" w:color="auto"/>
                                <w:right w:val="none" w:sz="0" w:space="0" w:color="auto"/>
                              </w:divBdr>
                              <w:divsChild>
                                <w:div w:id="799958328">
                                  <w:marLeft w:val="0"/>
                                  <w:marRight w:val="0"/>
                                  <w:marTop w:val="0"/>
                                  <w:marBottom w:val="0"/>
                                  <w:divBdr>
                                    <w:top w:val="none" w:sz="0" w:space="0" w:color="auto"/>
                                    <w:left w:val="none" w:sz="0" w:space="0" w:color="auto"/>
                                    <w:bottom w:val="none" w:sz="0" w:space="0" w:color="auto"/>
                                    <w:right w:val="none" w:sz="0" w:space="0" w:color="auto"/>
                                  </w:divBdr>
                                  <w:divsChild>
                                    <w:div w:id="1166359020">
                                      <w:marLeft w:val="0"/>
                                      <w:marRight w:val="0"/>
                                      <w:marTop w:val="0"/>
                                      <w:marBottom w:val="0"/>
                                      <w:divBdr>
                                        <w:top w:val="none" w:sz="0" w:space="0" w:color="auto"/>
                                        <w:left w:val="none" w:sz="0" w:space="0" w:color="auto"/>
                                        <w:bottom w:val="none" w:sz="0" w:space="0" w:color="auto"/>
                                        <w:right w:val="none" w:sz="0" w:space="0" w:color="auto"/>
                                      </w:divBdr>
                                      <w:divsChild>
                                        <w:div w:id="1440027584">
                                          <w:marLeft w:val="0"/>
                                          <w:marRight w:val="0"/>
                                          <w:marTop w:val="0"/>
                                          <w:marBottom w:val="0"/>
                                          <w:divBdr>
                                            <w:top w:val="none" w:sz="0" w:space="0" w:color="auto"/>
                                            <w:left w:val="none" w:sz="0" w:space="0" w:color="auto"/>
                                            <w:bottom w:val="none" w:sz="0" w:space="0" w:color="auto"/>
                                            <w:right w:val="none" w:sz="0" w:space="0" w:color="auto"/>
                                          </w:divBdr>
                                          <w:divsChild>
                                            <w:div w:id="411005682">
                                              <w:marLeft w:val="0"/>
                                              <w:marRight w:val="0"/>
                                              <w:marTop w:val="90"/>
                                              <w:marBottom w:val="0"/>
                                              <w:divBdr>
                                                <w:top w:val="none" w:sz="0" w:space="0" w:color="auto"/>
                                                <w:left w:val="none" w:sz="0" w:space="0" w:color="auto"/>
                                                <w:bottom w:val="none" w:sz="0" w:space="0" w:color="auto"/>
                                                <w:right w:val="none" w:sz="0" w:space="0" w:color="auto"/>
                                              </w:divBdr>
                                              <w:divsChild>
                                                <w:div w:id="1826818576">
                                                  <w:marLeft w:val="0"/>
                                                  <w:marRight w:val="0"/>
                                                  <w:marTop w:val="0"/>
                                                  <w:marBottom w:val="405"/>
                                                  <w:divBdr>
                                                    <w:top w:val="none" w:sz="0" w:space="0" w:color="auto"/>
                                                    <w:left w:val="none" w:sz="0" w:space="0" w:color="auto"/>
                                                    <w:bottom w:val="none" w:sz="0" w:space="0" w:color="auto"/>
                                                    <w:right w:val="none" w:sz="0" w:space="0" w:color="auto"/>
                                                  </w:divBdr>
                                                  <w:divsChild>
                                                    <w:div w:id="293172221">
                                                      <w:marLeft w:val="0"/>
                                                      <w:marRight w:val="0"/>
                                                      <w:marTop w:val="0"/>
                                                      <w:marBottom w:val="0"/>
                                                      <w:divBdr>
                                                        <w:top w:val="none" w:sz="0" w:space="0" w:color="auto"/>
                                                        <w:left w:val="none" w:sz="0" w:space="0" w:color="auto"/>
                                                        <w:bottom w:val="none" w:sz="0" w:space="0" w:color="auto"/>
                                                        <w:right w:val="none" w:sz="0" w:space="0" w:color="auto"/>
                                                      </w:divBdr>
                                                      <w:divsChild>
                                                        <w:div w:id="163278559">
                                                          <w:marLeft w:val="0"/>
                                                          <w:marRight w:val="0"/>
                                                          <w:marTop w:val="0"/>
                                                          <w:marBottom w:val="0"/>
                                                          <w:divBdr>
                                                            <w:top w:val="none" w:sz="0" w:space="0" w:color="auto"/>
                                                            <w:left w:val="none" w:sz="0" w:space="0" w:color="auto"/>
                                                            <w:bottom w:val="none" w:sz="0" w:space="0" w:color="auto"/>
                                                            <w:right w:val="none" w:sz="0" w:space="0" w:color="auto"/>
                                                          </w:divBdr>
                                                          <w:divsChild>
                                                            <w:div w:id="121774032">
                                                              <w:marLeft w:val="0"/>
                                                              <w:marRight w:val="0"/>
                                                              <w:marTop w:val="0"/>
                                                              <w:marBottom w:val="0"/>
                                                              <w:divBdr>
                                                                <w:top w:val="none" w:sz="0" w:space="0" w:color="auto"/>
                                                                <w:left w:val="none" w:sz="0" w:space="0" w:color="auto"/>
                                                                <w:bottom w:val="none" w:sz="0" w:space="0" w:color="auto"/>
                                                                <w:right w:val="none" w:sz="0" w:space="0" w:color="auto"/>
                                                              </w:divBdr>
                                                              <w:divsChild>
                                                                <w:div w:id="1513255060">
                                                                  <w:marLeft w:val="0"/>
                                                                  <w:marRight w:val="0"/>
                                                                  <w:marTop w:val="0"/>
                                                                  <w:marBottom w:val="0"/>
                                                                  <w:divBdr>
                                                                    <w:top w:val="none" w:sz="0" w:space="0" w:color="auto"/>
                                                                    <w:left w:val="none" w:sz="0" w:space="0" w:color="auto"/>
                                                                    <w:bottom w:val="none" w:sz="0" w:space="0" w:color="auto"/>
                                                                    <w:right w:val="none" w:sz="0" w:space="0" w:color="auto"/>
                                                                  </w:divBdr>
                                                                  <w:divsChild>
                                                                    <w:div w:id="1724869949">
                                                                      <w:marLeft w:val="0"/>
                                                                      <w:marRight w:val="0"/>
                                                                      <w:marTop w:val="0"/>
                                                                      <w:marBottom w:val="0"/>
                                                                      <w:divBdr>
                                                                        <w:top w:val="none" w:sz="0" w:space="0" w:color="auto"/>
                                                                        <w:left w:val="none" w:sz="0" w:space="0" w:color="auto"/>
                                                                        <w:bottom w:val="none" w:sz="0" w:space="0" w:color="auto"/>
                                                                        <w:right w:val="none" w:sz="0" w:space="0" w:color="auto"/>
                                                                      </w:divBdr>
                                                                      <w:divsChild>
                                                                        <w:div w:id="1911576678">
                                                                          <w:marLeft w:val="0"/>
                                                                          <w:marRight w:val="0"/>
                                                                          <w:marTop w:val="0"/>
                                                                          <w:marBottom w:val="0"/>
                                                                          <w:divBdr>
                                                                            <w:top w:val="none" w:sz="0" w:space="0" w:color="auto"/>
                                                                            <w:left w:val="none" w:sz="0" w:space="0" w:color="auto"/>
                                                                            <w:bottom w:val="none" w:sz="0" w:space="0" w:color="auto"/>
                                                                            <w:right w:val="none" w:sz="0" w:space="0" w:color="auto"/>
                                                                          </w:divBdr>
                                                                          <w:divsChild>
                                                                            <w:div w:id="1366444657">
                                                                              <w:marLeft w:val="0"/>
                                                                              <w:marRight w:val="0"/>
                                                                              <w:marTop w:val="0"/>
                                                                              <w:marBottom w:val="0"/>
                                                                              <w:divBdr>
                                                                                <w:top w:val="none" w:sz="0" w:space="0" w:color="auto"/>
                                                                                <w:left w:val="none" w:sz="0" w:space="0" w:color="auto"/>
                                                                                <w:bottom w:val="none" w:sz="0" w:space="0" w:color="auto"/>
                                                                                <w:right w:val="none" w:sz="0" w:space="0" w:color="auto"/>
                                                                              </w:divBdr>
                                                                              <w:divsChild>
                                                                                <w:div w:id="103185859">
                                                                                  <w:marLeft w:val="0"/>
                                                                                  <w:marRight w:val="0"/>
                                                                                  <w:marTop w:val="0"/>
                                                                                  <w:marBottom w:val="0"/>
                                                                                  <w:divBdr>
                                                                                    <w:top w:val="none" w:sz="0" w:space="0" w:color="auto"/>
                                                                                    <w:left w:val="none" w:sz="0" w:space="0" w:color="auto"/>
                                                                                    <w:bottom w:val="none" w:sz="0" w:space="0" w:color="auto"/>
                                                                                    <w:right w:val="none" w:sz="0" w:space="0" w:color="auto"/>
                                                                                  </w:divBdr>
                                                                                  <w:divsChild>
                                                                                    <w:div w:id="824710543">
                                                                                      <w:marLeft w:val="0"/>
                                                                                      <w:marRight w:val="0"/>
                                                                                      <w:marTop w:val="0"/>
                                                                                      <w:marBottom w:val="0"/>
                                                                                      <w:divBdr>
                                                                                        <w:top w:val="none" w:sz="0" w:space="0" w:color="auto"/>
                                                                                        <w:left w:val="none" w:sz="0" w:space="0" w:color="auto"/>
                                                                                        <w:bottom w:val="none" w:sz="0" w:space="0" w:color="auto"/>
                                                                                        <w:right w:val="none" w:sz="0" w:space="0" w:color="auto"/>
                                                                                      </w:divBdr>
                                                                                    </w:div>
                                                                                    <w:div w:id="1931547065">
                                                                                      <w:marLeft w:val="0"/>
                                                                                      <w:marRight w:val="0"/>
                                                                                      <w:marTop w:val="0"/>
                                                                                      <w:marBottom w:val="0"/>
                                                                                      <w:divBdr>
                                                                                        <w:top w:val="none" w:sz="0" w:space="0" w:color="auto"/>
                                                                                        <w:left w:val="none" w:sz="0" w:space="0" w:color="auto"/>
                                                                                        <w:bottom w:val="none" w:sz="0" w:space="0" w:color="auto"/>
                                                                                        <w:right w:val="none" w:sz="0" w:space="0" w:color="auto"/>
                                                                                      </w:divBdr>
                                                                                      <w:divsChild>
                                                                                        <w:div w:id="1597327501">
                                                                                          <w:marLeft w:val="0"/>
                                                                                          <w:marRight w:val="0"/>
                                                                                          <w:marTop w:val="0"/>
                                                                                          <w:marBottom w:val="0"/>
                                                                                          <w:divBdr>
                                                                                            <w:top w:val="none" w:sz="0" w:space="0" w:color="auto"/>
                                                                                            <w:left w:val="none" w:sz="0" w:space="0" w:color="auto"/>
                                                                                            <w:bottom w:val="none" w:sz="0" w:space="0" w:color="auto"/>
                                                                                            <w:right w:val="none" w:sz="0" w:space="0" w:color="auto"/>
                                                                                          </w:divBdr>
                                                                                          <w:divsChild>
                                                                                            <w:div w:id="1922257555">
                                                                                              <w:marLeft w:val="0"/>
                                                                                              <w:marRight w:val="0"/>
                                                                                              <w:marTop w:val="0"/>
                                                                                              <w:marBottom w:val="0"/>
                                                                                              <w:divBdr>
                                                                                                <w:top w:val="none" w:sz="0" w:space="0" w:color="auto"/>
                                                                                                <w:left w:val="none" w:sz="0" w:space="0" w:color="auto"/>
                                                                                                <w:bottom w:val="none" w:sz="0" w:space="0" w:color="auto"/>
                                                                                                <w:right w:val="none" w:sz="0" w:space="0" w:color="auto"/>
                                                                                              </w:divBdr>
                                                                                              <w:divsChild>
                                                                                                <w:div w:id="773135474">
                                                                                                  <w:marLeft w:val="0"/>
                                                                                                  <w:marRight w:val="0"/>
                                                                                                  <w:marTop w:val="0"/>
                                                                                                  <w:marBottom w:val="0"/>
                                                                                                  <w:divBdr>
                                                                                                    <w:top w:val="none" w:sz="0" w:space="0" w:color="auto"/>
                                                                                                    <w:left w:val="none" w:sz="0" w:space="0" w:color="auto"/>
                                                                                                    <w:bottom w:val="none" w:sz="0" w:space="0" w:color="auto"/>
                                                                                                    <w:right w:val="none" w:sz="0" w:space="0" w:color="auto"/>
                                                                                                  </w:divBdr>
                                                                                                </w:div>
                                                                                                <w:div w:id="13894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064918">
      <w:bodyDiv w:val="1"/>
      <w:marLeft w:val="0"/>
      <w:marRight w:val="0"/>
      <w:marTop w:val="0"/>
      <w:marBottom w:val="0"/>
      <w:divBdr>
        <w:top w:val="none" w:sz="0" w:space="0" w:color="auto"/>
        <w:left w:val="none" w:sz="0" w:space="0" w:color="auto"/>
        <w:bottom w:val="none" w:sz="0" w:space="0" w:color="auto"/>
        <w:right w:val="none" w:sz="0" w:space="0" w:color="auto"/>
      </w:divBdr>
    </w:div>
    <w:div w:id="482163687">
      <w:bodyDiv w:val="1"/>
      <w:marLeft w:val="0"/>
      <w:marRight w:val="0"/>
      <w:marTop w:val="0"/>
      <w:marBottom w:val="0"/>
      <w:divBdr>
        <w:top w:val="none" w:sz="0" w:space="0" w:color="auto"/>
        <w:left w:val="none" w:sz="0" w:space="0" w:color="auto"/>
        <w:bottom w:val="none" w:sz="0" w:space="0" w:color="auto"/>
        <w:right w:val="none" w:sz="0" w:space="0" w:color="auto"/>
      </w:divBdr>
    </w:div>
    <w:div w:id="566767337">
      <w:bodyDiv w:val="1"/>
      <w:marLeft w:val="0"/>
      <w:marRight w:val="0"/>
      <w:marTop w:val="0"/>
      <w:marBottom w:val="0"/>
      <w:divBdr>
        <w:top w:val="none" w:sz="0" w:space="0" w:color="auto"/>
        <w:left w:val="none" w:sz="0" w:space="0" w:color="auto"/>
        <w:bottom w:val="none" w:sz="0" w:space="0" w:color="auto"/>
        <w:right w:val="none" w:sz="0" w:space="0" w:color="auto"/>
      </w:divBdr>
    </w:div>
    <w:div w:id="591863460">
      <w:bodyDiv w:val="1"/>
      <w:marLeft w:val="0"/>
      <w:marRight w:val="0"/>
      <w:marTop w:val="0"/>
      <w:marBottom w:val="0"/>
      <w:divBdr>
        <w:top w:val="none" w:sz="0" w:space="0" w:color="auto"/>
        <w:left w:val="none" w:sz="0" w:space="0" w:color="auto"/>
        <w:bottom w:val="none" w:sz="0" w:space="0" w:color="auto"/>
        <w:right w:val="none" w:sz="0" w:space="0" w:color="auto"/>
      </w:divBdr>
    </w:div>
    <w:div w:id="610165160">
      <w:bodyDiv w:val="1"/>
      <w:marLeft w:val="0"/>
      <w:marRight w:val="0"/>
      <w:marTop w:val="0"/>
      <w:marBottom w:val="0"/>
      <w:divBdr>
        <w:top w:val="none" w:sz="0" w:space="0" w:color="auto"/>
        <w:left w:val="none" w:sz="0" w:space="0" w:color="auto"/>
        <w:bottom w:val="none" w:sz="0" w:space="0" w:color="auto"/>
        <w:right w:val="none" w:sz="0" w:space="0" w:color="auto"/>
      </w:divBdr>
    </w:div>
    <w:div w:id="650911596">
      <w:bodyDiv w:val="1"/>
      <w:marLeft w:val="0"/>
      <w:marRight w:val="0"/>
      <w:marTop w:val="0"/>
      <w:marBottom w:val="0"/>
      <w:divBdr>
        <w:top w:val="none" w:sz="0" w:space="0" w:color="auto"/>
        <w:left w:val="none" w:sz="0" w:space="0" w:color="auto"/>
        <w:bottom w:val="none" w:sz="0" w:space="0" w:color="auto"/>
        <w:right w:val="none" w:sz="0" w:space="0" w:color="auto"/>
      </w:divBdr>
      <w:divsChild>
        <w:div w:id="1675567965">
          <w:marLeft w:val="0"/>
          <w:marRight w:val="0"/>
          <w:marTop w:val="0"/>
          <w:marBottom w:val="0"/>
          <w:divBdr>
            <w:top w:val="none" w:sz="0" w:space="0" w:color="auto"/>
            <w:left w:val="none" w:sz="0" w:space="0" w:color="auto"/>
            <w:bottom w:val="none" w:sz="0" w:space="0" w:color="auto"/>
            <w:right w:val="none" w:sz="0" w:space="0" w:color="auto"/>
          </w:divBdr>
          <w:divsChild>
            <w:div w:id="983316707">
              <w:marLeft w:val="0"/>
              <w:marRight w:val="0"/>
              <w:marTop w:val="0"/>
              <w:marBottom w:val="0"/>
              <w:divBdr>
                <w:top w:val="none" w:sz="0" w:space="0" w:color="auto"/>
                <w:left w:val="none" w:sz="0" w:space="0" w:color="auto"/>
                <w:bottom w:val="none" w:sz="0" w:space="0" w:color="auto"/>
                <w:right w:val="none" w:sz="0" w:space="0" w:color="auto"/>
              </w:divBdr>
              <w:divsChild>
                <w:div w:id="280112146">
                  <w:marLeft w:val="0"/>
                  <w:marRight w:val="0"/>
                  <w:marTop w:val="0"/>
                  <w:marBottom w:val="0"/>
                  <w:divBdr>
                    <w:top w:val="none" w:sz="0" w:space="0" w:color="auto"/>
                    <w:left w:val="none" w:sz="0" w:space="0" w:color="auto"/>
                    <w:bottom w:val="none" w:sz="0" w:space="0" w:color="auto"/>
                    <w:right w:val="none" w:sz="0" w:space="0" w:color="auto"/>
                  </w:divBdr>
                  <w:divsChild>
                    <w:div w:id="721321346">
                      <w:marLeft w:val="0"/>
                      <w:marRight w:val="0"/>
                      <w:marTop w:val="0"/>
                      <w:marBottom w:val="0"/>
                      <w:divBdr>
                        <w:top w:val="none" w:sz="0" w:space="0" w:color="auto"/>
                        <w:left w:val="none" w:sz="0" w:space="0" w:color="auto"/>
                        <w:bottom w:val="none" w:sz="0" w:space="0" w:color="auto"/>
                        <w:right w:val="none" w:sz="0" w:space="0" w:color="auto"/>
                      </w:divBdr>
                      <w:divsChild>
                        <w:div w:id="1987081862">
                          <w:marLeft w:val="0"/>
                          <w:marRight w:val="0"/>
                          <w:marTop w:val="0"/>
                          <w:marBottom w:val="0"/>
                          <w:divBdr>
                            <w:top w:val="none" w:sz="0" w:space="0" w:color="auto"/>
                            <w:left w:val="none" w:sz="0" w:space="0" w:color="auto"/>
                            <w:bottom w:val="none" w:sz="0" w:space="0" w:color="auto"/>
                            <w:right w:val="none" w:sz="0" w:space="0" w:color="auto"/>
                          </w:divBdr>
                          <w:divsChild>
                            <w:div w:id="162085648">
                              <w:marLeft w:val="0"/>
                              <w:marRight w:val="0"/>
                              <w:marTop w:val="0"/>
                              <w:marBottom w:val="0"/>
                              <w:divBdr>
                                <w:top w:val="none" w:sz="0" w:space="0" w:color="auto"/>
                                <w:left w:val="none" w:sz="0" w:space="0" w:color="auto"/>
                                <w:bottom w:val="none" w:sz="0" w:space="0" w:color="auto"/>
                                <w:right w:val="none" w:sz="0" w:space="0" w:color="auto"/>
                              </w:divBdr>
                              <w:divsChild>
                                <w:div w:id="759332376">
                                  <w:marLeft w:val="0"/>
                                  <w:marRight w:val="0"/>
                                  <w:marTop w:val="0"/>
                                  <w:marBottom w:val="0"/>
                                  <w:divBdr>
                                    <w:top w:val="none" w:sz="0" w:space="0" w:color="auto"/>
                                    <w:left w:val="none" w:sz="0" w:space="0" w:color="auto"/>
                                    <w:bottom w:val="none" w:sz="0" w:space="0" w:color="auto"/>
                                    <w:right w:val="none" w:sz="0" w:space="0" w:color="auto"/>
                                  </w:divBdr>
                                  <w:divsChild>
                                    <w:div w:id="589237657">
                                      <w:marLeft w:val="0"/>
                                      <w:marRight w:val="0"/>
                                      <w:marTop w:val="0"/>
                                      <w:marBottom w:val="0"/>
                                      <w:divBdr>
                                        <w:top w:val="none" w:sz="0" w:space="0" w:color="auto"/>
                                        <w:left w:val="none" w:sz="0" w:space="0" w:color="auto"/>
                                        <w:bottom w:val="none" w:sz="0" w:space="0" w:color="auto"/>
                                        <w:right w:val="none" w:sz="0" w:space="0" w:color="auto"/>
                                      </w:divBdr>
                                      <w:divsChild>
                                        <w:div w:id="140342832">
                                          <w:marLeft w:val="0"/>
                                          <w:marRight w:val="0"/>
                                          <w:marTop w:val="0"/>
                                          <w:marBottom w:val="0"/>
                                          <w:divBdr>
                                            <w:top w:val="none" w:sz="0" w:space="0" w:color="auto"/>
                                            <w:left w:val="none" w:sz="0" w:space="0" w:color="auto"/>
                                            <w:bottom w:val="none" w:sz="0" w:space="0" w:color="auto"/>
                                            <w:right w:val="none" w:sz="0" w:space="0" w:color="auto"/>
                                          </w:divBdr>
                                          <w:divsChild>
                                            <w:div w:id="319777359">
                                              <w:marLeft w:val="0"/>
                                              <w:marRight w:val="0"/>
                                              <w:marTop w:val="0"/>
                                              <w:marBottom w:val="0"/>
                                              <w:divBdr>
                                                <w:top w:val="none" w:sz="0" w:space="0" w:color="auto"/>
                                                <w:left w:val="none" w:sz="0" w:space="0" w:color="auto"/>
                                                <w:bottom w:val="none" w:sz="0" w:space="0" w:color="auto"/>
                                                <w:right w:val="none" w:sz="0" w:space="0" w:color="auto"/>
                                              </w:divBdr>
                                            </w:div>
                                          </w:divsChild>
                                        </w:div>
                                        <w:div w:id="960453282">
                                          <w:marLeft w:val="0"/>
                                          <w:marRight w:val="0"/>
                                          <w:marTop w:val="0"/>
                                          <w:marBottom w:val="0"/>
                                          <w:divBdr>
                                            <w:top w:val="none" w:sz="0" w:space="0" w:color="auto"/>
                                            <w:left w:val="none" w:sz="0" w:space="0" w:color="auto"/>
                                            <w:bottom w:val="none" w:sz="0" w:space="0" w:color="auto"/>
                                            <w:right w:val="none" w:sz="0" w:space="0" w:color="auto"/>
                                          </w:divBdr>
                                        </w:div>
                                      </w:divsChild>
                                    </w:div>
                                    <w:div w:id="1937706480">
                                      <w:marLeft w:val="0"/>
                                      <w:marRight w:val="0"/>
                                      <w:marTop w:val="0"/>
                                      <w:marBottom w:val="0"/>
                                      <w:divBdr>
                                        <w:top w:val="none" w:sz="0" w:space="0" w:color="auto"/>
                                        <w:left w:val="none" w:sz="0" w:space="0" w:color="auto"/>
                                        <w:bottom w:val="none" w:sz="0" w:space="0" w:color="auto"/>
                                        <w:right w:val="none" w:sz="0" w:space="0" w:color="auto"/>
                                      </w:divBdr>
                                      <w:divsChild>
                                        <w:div w:id="378667775">
                                          <w:marLeft w:val="0"/>
                                          <w:marRight w:val="0"/>
                                          <w:marTop w:val="0"/>
                                          <w:marBottom w:val="0"/>
                                          <w:divBdr>
                                            <w:top w:val="none" w:sz="0" w:space="0" w:color="auto"/>
                                            <w:left w:val="none" w:sz="0" w:space="0" w:color="auto"/>
                                            <w:bottom w:val="none" w:sz="0" w:space="0" w:color="auto"/>
                                            <w:right w:val="none" w:sz="0" w:space="0" w:color="auto"/>
                                          </w:divBdr>
                                        </w:div>
                                        <w:div w:id="634484701">
                                          <w:marLeft w:val="0"/>
                                          <w:marRight w:val="0"/>
                                          <w:marTop w:val="0"/>
                                          <w:marBottom w:val="0"/>
                                          <w:divBdr>
                                            <w:top w:val="none" w:sz="0" w:space="0" w:color="auto"/>
                                            <w:left w:val="none" w:sz="0" w:space="0" w:color="auto"/>
                                            <w:bottom w:val="none" w:sz="0" w:space="0" w:color="auto"/>
                                            <w:right w:val="none" w:sz="0" w:space="0" w:color="auto"/>
                                          </w:divBdr>
                                          <w:divsChild>
                                            <w:div w:id="10302382">
                                              <w:marLeft w:val="0"/>
                                              <w:marRight w:val="0"/>
                                              <w:marTop w:val="0"/>
                                              <w:marBottom w:val="0"/>
                                              <w:divBdr>
                                                <w:top w:val="none" w:sz="0" w:space="0" w:color="auto"/>
                                                <w:left w:val="none" w:sz="0" w:space="0" w:color="auto"/>
                                                <w:bottom w:val="none" w:sz="0" w:space="0" w:color="auto"/>
                                                <w:right w:val="none" w:sz="0" w:space="0" w:color="auto"/>
                                              </w:divBdr>
                                              <w:divsChild>
                                                <w:div w:id="309135951">
                                                  <w:marLeft w:val="0"/>
                                                  <w:marRight w:val="0"/>
                                                  <w:marTop w:val="0"/>
                                                  <w:marBottom w:val="0"/>
                                                  <w:divBdr>
                                                    <w:top w:val="none" w:sz="0" w:space="0" w:color="auto"/>
                                                    <w:left w:val="none" w:sz="0" w:space="0" w:color="auto"/>
                                                    <w:bottom w:val="none" w:sz="0" w:space="0" w:color="auto"/>
                                                    <w:right w:val="none" w:sz="0" w:space="0" w:color="auto"/>
                                                  </w:divBdr>
                                                </w:div>
                                                <w:div w:id="11059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526427">
      <w:bodyDiv w:val="1"/>
      <w:marLeft w:val="0"/>
      <w:marRight w:val="0"/>
      <w:marTop w:val="0"/>
      <w:marBottom w:val="0"/>
      <w:divBdr>
        <w:top w:val="none" w:sz="0" w:space="0" w:color="auto"/>
        <w:left w:val="none" w:sz="0" w:space="0" w:color="auto"/>
        <w:bottom w:val="none" w:sz="0" w:space="0" w:color="auto"/>
        <w:right w:val="none" w:sz="0" w:space="0" w:color="auto"/>
      </w:divBdr>
    </w:div>
    <w:div w:id="875507262">
      <w:bodyDiv w:val="1"/>
      <w:marLeft w:val="0"/>
      <w:marRight w:val="0"/>
      <w:marTop w:val="0"/>
      <w:marBottom w:val="0"/>
      <w:divBdr>
        <w:top w:val="none" w:sz="0" w:space="0" w:color="auto"/>
        <w:left w:val="none" w:sz="0" w:space="0" w:color="auto"/>
        <w:bottom w:val="none" w:sz="0" w:space="0" w:color="auto"/>
        <w:right w:val="none" w:sz="0" w:space="0" w:color="auto"/>
      </w:divBdr>
      <w:divsChild>
        <w:div w:id="280772460">
          <w:marLeft w:val="0"/>
          <w:marRight w:val="0"/>
          <w:marTop w:val="0"/>
          <w:marBottom w:val="0"/>
          <w:divBdr>
            <w:top w:val="none" w:sz="0" w:space="0" w:color="auto"/>
            <w:left w:val="none" w:sz="0" w:space="0" w:color="auto"/>
            <w:bottom w:val="none" w:sz="0" w:space="0" w:color="auto"/>
            <w:right w:val="none" w:sz="0" w:space="0" w:color="auto"/>
          </w:divBdr>
          <w:divsChild>
            <w:div w:id="1815297102">
              <w:marLeft w:val="0"/>
              <w:marRight w:val="0"/>
              <w:marTop w:val="0"/>
              <w:marBottom w:val="0"/>
              <w:divBdr>
                <w:top w:val="none" w:sz="0" w:space="0" w:color="auto"/>
                <w:left w:val="none" w:sz="0" w:space="0" w:color="auto"/>
                <w:bottom w:val="none" w:sz="0" w:space="0" w:color="auto"/>
                <w:right w:val="none" w:sz="0" w:space="0" w:color="auto"/>
              </w:divBdr>
              <w:divsChild>
                <w:div w:id="1649090068">
                  <w:marLeft w:val="0"/>
                  <w:marRight w:val="0"/>
                  <w:marTop w:val="0"/>
                  <w:marBottom w:val="0"/>
                  <w:divBdr>
                    <w:top w:val="none" w:sz="0" w:space="0" w:color="auto"/>
                    <w:left w:val="none" w:sz="0" w:space="0" w:color="auto"/>
                    <w:bottom w:val="none" w:sz="0" w:space="0" w:color="auto"/>
                    <w:right w:val="none" w:sz="0" w:space="0" w:color="auto"/>
                  </w:divBdr>
                  <w:divsChild>
                    <w:div w:id="1875925574">
                      <w:marLeft w:val="0"/>
                      <w:marRight w:val="0"/>
                      <w:marTop w:val="0"/>
                      <w:marBottom w:val="0"/>
                      <w:divBdr>
                        <w:top w:val="none" w:sz="0" w:space="0" w:color="auto"/>
                        <w:left w:val="none" w:sz="0" w:space="0" w:color="auto"/>
                        <w:bottom w:val="none" w:sz="0" w:space="0" w:color="auto"/>
                        <w:right w:val="none" w:sz="0" w:space="0" w:color="auto"/>
                      </w:divBdr>
                      <w:divsChild>
                        <w:div w:id="788163521">
                          <w:marLeft w:val="0"/>
                          <w:marRight w:val="0"/>
                          <w:marTop w:val="0"/>
                          <w:marBottom w:val="0"/>
                          <w:divBdr>
                            <w:top w:val="none" w:sz="0" w:space="0" w:color="auto"/>
                            <w:left w:val="none" w:sz="0" w:space="0" w:color="auto"/>
                            <w:bottom w:val="none" w:sz="0" w:space="0" w:color="auto"/>
                            <w:right w:val="none" w:sz="0" w:space="0" w:color="auto"/>
                          </w:divBdr>
                          <w:divsChild>
                            <w:div w:id="972759677">
                              <w:marLeft w:val="2250"/>
                              <w:marRight w:val="3960"/>
                              <w:marTop w:val="0"/>
                              <w:marBottom w:val="0"/>
                              <w:divBdr>
                                <w:top w:val="none" w:sz="0" w:space="0" w:color="auto"/>
                                <w:left w:val="none" w:sz="0" w:space="0" w:color="auto"/>
                                <w:bottom w:val="none" w:sz="0" w:space="0" w:color="auto"/>
                                <w:right w:val="none" w:sz="0" w:space="0" w:color="auto"/>
                              </w:divBdr>
                              <w:divsChild>
                                <w:div w:id="1311785363">
                                  <w:marLeft w:val="0"/>
                                  <w:marRight w:val="0"/>
                                  <w:marTop w:val="0"/>
                                  <w:marBottom w:val="0"/>
                                  <w:divBdr>
                                    <w:top w:val="none" w:sz="0" w:space="0" w:color="auto"/>
                                    <w:left w:val="none" w:sz="0" w:space="0" w:color="auto"/>
                                    <w:bottom w:val="none" w:sz="0" w:space="0" w:color="auto"/>
                                    <w:right w:val="none" w:sz="0" w:space="0" w:color="auto"/>
                                  </w:divBdr>
                                  <w:divsChild>
                                    <w:div w:id="117139679">
                                      <w:marLeft w:val="0"/>
                                      <w:marRight w:val="0"/>
                                      <w:marTop w:val="0"/>
                                      <w:marBottom w:val="0"/>
                                      <w:divBdr>
                                        <w:top w:val="none" w:sz="0" w:space="0" w:color="auto"/>
                                        <w:left w:val="none" w:sz="0" w:space="0" w:color="auto"/>
                                        <w:bottom w:val="none" w:sz="0" w:space="0" w:color="auto"/>
                                        <w:right w:val="none" w:sz="0" w:space="0" w:color="auto"/>
                                      </w:divBdr>
                                      <w:divsChild>
                                        <w:div w:id="63601539">
                                          <w:marLeft w:val="0"/>
                                          <w:marRight w:val="0"/>
                                          <w:marTop w:val="0"/>
                                          <w:marBottom w:val="0"/>
                                          <w:divBdr>
                                            <w:top w:val="none" w:sz="0" w:space="0" w:color="auto"/>
                                            <w:left w:val="none" w:sz="0" w:space="0" w:color="auto"/>
                                            <w:bottom w:val="none" w:sz="0" w:space="0" w:color="auto"/>
                                            <w:right w:val="none" w:sz="0" w:space="0" w:color="auto"/>
                                          </w:divBdr>
                                          <w:divsChild>
                                            <w:div w:id="1878543302">
                                              <w:marLeft w:val="0"/>
                                              <w:marRight w:val="0"/>
                                              <w:marTop w:val="90"/>
                                              <w:marBottom w:val="0"/>
                                              <w:divBdr>
                                                <w:top w:val="none" w:sz="0" w:space="0" w:color="auto"/>
                                                <w:left w:val="none" w:sz="0" w:space="0" w:color="auto"/>
                                                <w:bottom w:val="none" w:sz="0" w:space="0" w:color="auto"/>
                                                <w:right w:val="none" w:sz="0" w:space="0" w:color="auto"/>
                                              </w:divBdr>
                                              <w:divsChild>
                                                <w:div w:id="346449950">
                                                  <w:marLeft w:val="0"/>
                                                  <w:marRight w:val="0"/>
                                                  <w:marTop w:val="0"/>
                                                  <w:marBottom w:val="0"/>
                                                  <w:divBdr>
                                                    <w:top w:val="none" w:sz="0" w:space="0" w:color="auto"/>
                                                    <w:left w:val="none" w:sz="0" w:space="0" w:color="auto"/>
                                                    <w:bottom w:val="none" w:sz="0" w:space="0" w:color="auto"/>
                                                    <w:right w:val="none" w:sz="0" w:space="0" w:color="auto"/>
                                                  </w:divBdr>
                                                  <w:divsChild>
                                                    <w:div w:id="2122147140">
                                                      <w:marLeft w:val="0"/>
                                                      <w:marRight w:val="0"/>
                                                      <w:marTop w:val="0"/>
                                                      <w:marBottom w:val="405"/>
                                                      <w:divBdr>
                                                        <w:top w:val="none" w:sz="0" w:space="0" w:color="auto"/>
                                                        <w:left w:val="none" w:sz="0" w:space="0" w:color="auto"/>
                                                        <w:bottom w:val="none" w:sz="0" w:space="0" w:color="auto"/>
                                                        <w:right w:val="none" w:sz="0" w:space="0" w:color="auto"/>
                                                      </w:divBdr>
                                                      <w:divsChild>
                                                        <w:div w:id="958875826">
                                                          <w:marLeft w:val="0"/>
                                                          <w:marRight w:val="0"/>
                                                          <w:marTop w:val="0"/>
                                                          <w:marBottom w:val="0"/>
                                                          <w:divBdr>
                                                            <w:top w:val="none" w:sz="0" w:space="0" w:color="auto"/>
                                                            <w:left w:val="none" w:sz="0" w:space="0" w:color="auto"/>
                                                            <w:bottom w:val="none" w:sz="0" w:space="0" w:color="auto"/>
                                                            <w:right w:val="none" w:sz="0" w:space="0" w:color="auto"/>
                                                          </w:divBdr>
                                                          <w:divsChild>
                                                            <w:div w:id="47270038">
                                                              <w:marLeft w:val="0"/>
                                                              <w:marRight w:val="0"/>
                                                              <w:marTop w:val="0"/>
                                                              <w:marBottom w:val="0"/>
                                                              <w:divBdr>
                                                                <w:top w:val="none" w:sz="0" w:space="0" w:color="auto"/>
                                                                <w:left w:val="none" w:sz="0" w:space="0" w:color="auto"/>
                                                                <w:bottom w:val="none" w:sz="0" w:space="0" w:color="auto"/>
                                                                <w:right w:val="none" w:sz="0" w:space="0" w:color="auto"/>
                                                              </w:divBdr>
                                                              <w:divsChild>
                                                                <w:div w:id="348991118">
                                                                  <w:marLeft w:val="0"/>
                                                                  <w:marRight w:val="0"/>
                                                                  <w:marTop w:val="0"/>
                                                                  <w:marBottom w:val="0"/>
                                                                  <w:divBdr>
                                                                    <w:top w:val="none" w:sz="0" w:space="0" w:color="auto"/>
                                                                    <w:left w:val="none" w:sz="0" w:space="0" w:color="auto"/>
                                                                    <w:bottom w:val="none" w:sz="0" w:space="0" w:color="auto"/>
                                                                    <w:right w:val="none" w:sz="0" w:space="0" w:color="auto"/>
                                                                  </w:divBdr>
                                                                  <w:divsChild>
                                                                    <w:div w:id="416561146">
                                                                      <w:marLeft w:val="0"/>
                                                                      <w:marRight w:val="0"/>
                                                                      <w:marTop w:val="0"/>
                                                                      <w:marBottom w:val="0"/>
                                                                      <w:divBdr>
                                                                        <w:top w:val="none" w:sz="0" w:space="0" w:color="auto"/>
                                                                        <w:left w:val="none" w:sz="0" w:space="0" w:color="auto"/>
                                                                        <w:bottom w:val="none" w:sz="0" w:space="0" w:color="auto"/>
                                                                        <w:right w:val="none" w:sz="0" w:space="0" w:color="auto"/>
                                                                      </w:divBdr>
                                                                      <w:divsChild>
                                                                        <w:div w:id="1289123719">
                                                                          <w:marLeft w:val="0"/>
                                                                          <w:marRight w:val="0"/>
                                                                          <w:marTop w:val="0"/>
                                                                          <w:marBottom w:val="0"/>
                                                                          <w:divBdr>
                                                                            <w:top w:val="none" w:sz="0" w:space="0" w:color="auto"/>
                                                                            <w:left w:val="none" w:sz="0" w:space="0" w:color="auto"/>
                                                                            <w:bottom w:val="none" w:sz="0" w:space="0" w:color="auto"/>
                                                                            <w:right w:val="none" w:sz="0" w:space="0" w:color="auto"/>
                                                                          </w:divBdr>
                                                                          <w:divsChild>
                                                                            <w:div w:id="162475016">
                                                                              <w:marLeft w:val="0"/>
                                                                              <w:marRight w:val="0"/>
                                                                              <w:marTop w:val="0"/>
                                                                              <w:marBottom w:val="0"/>
                                                                              <w:divBdr>
                                                                                <w:top w:val="none" w:sz="0" w:space="0" w:color="auto"/>
                                                                                <w:left w:val="none" w:sz="0" w:space="0" w:color="auto"/>
                                                                                <w:bottom w:val="none" w:sz="0" w:space="0" w:color="auto"/>
                                                                                <w:right w:val="none" w:sz="0" w:space="0" w:color="auto"/>
                                                                              </w:divBdr>
                                                                              <w:divsChild>
                                                                                <w:div w:id="727994634">
                                                                                  <w:marLeft w:val="0"/>
                                                                                  <w:marRight w:val="0"/>
                                                                                  <w:marTop w:val="0"/>
                                                                                  <w:marBottom w:val="0"/>
                                                                                  <w:divBdr>
                                                                                    <w:top w:val="none" w:sz="0" w:space="0" w:color="auto"/>
                                                                                    <w:left w:val="none" w:sz="0" w:space="0" w:color="auto"/>
                                                                                    <w:bottom w:val="none" w:sz="0" w:space="0" w:color="auto"/>
                                                                                    <w:right w:val="none" w:sz="0" w:space="0" w:color="auto"/>
                                                                                  </w:divBdr>
                                                                                  <w:divsChild>
                                                                                    <w:div w:id="470950468">
                                                                                      <w:marLeft w:val="0"/>
                                                                                      <w:marRight w:val="0"/>
                                                                                      <w:marTop w:val="0"/>
                                                                                      <w:marBottom w:val="0"/>
                                                                                      <w:divBdr>
                                                                                        <w:top w:val="none" w:sz="0" w:space="0" w:color="auto"/>
                                                                                        <w:left w:val="none" w:sz="0" w:space="0" w:color="auto"/>
                                                                                        <w:bottom w:val="none" w:sz="0" w:space="0" w:color="auto"/>
                                                                                        <w:right w:val="none" w:sz="0" w:space="0" w:color="auto"/>
                                                                                      </w:divBdr>
                                                                                      <w:divsChild>
                                                                                        <w:div w:id="11813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04403">
      <w:bodyDiv w:val="1"/>
      <w:marLeft w:val="0"/>
      <w:marRight w:val="0"/>
      <w:marTop w:val="0"/>
      <w:marBottom w:val="0"/>
      <w:divBdr>
        <w:top w:val="none" w:sz="0" w:space="0" w:color="auto"/>
        <w:left w:val="none" w:sz="0" w:space="0" w:color="auto"/>
        <w:bottom w:val="none" w:sz="0" w:space="0" w:color="auto"/>
        <w:right w:val="none" w:sz="0" w:space="0" w:color="auto"/>
      </w:divBdr>
    </w:div>
    <w:div w:id="1693458303">
      <w:bodyDiv w:val="1"/>
      <w:marLeft w:val="0"/>
      <w:marRight w:val="0"/>
      <w:marTop w:val="0"/>
      <w:marBottom w:val="0"/>
      <w:divBdr>
        <w:top w:val="none" w:sz="0" w:space="0" w:color="auto"/>
        <w:left w:val="none" w:sz="0" w:space="0" w:color="auto"/>
        <w:bottom w:val="none" w:sz="0" w:space="0" w:color="auto"/>
        <w:right w:val="none" w:sz="0" w:space="0" w:color="auto"/>
      </w:divBdr>
    </w:div>
    <w:div w:id="1754812206">
      <w:bodyDiv w:val="1"/>
      <w:marLeft w:val="0"/>
      <w:marRight w:val="0"/>
      <w:marTop w:val="0"/>
      <w:marBottom w:val="0"/>
      <w:divBdr>
        <w:top w:val="none" w:sz="0" w:space="0" w:color="auto"/>
        <w:left w:val="none" w:sz="0" w:space="0" w:color="auto"/>
        <w:bottom w:val="none" w:sz="0" w:space="0" w:color="auto"/>
        <w:right w:val="none" w:sz="0" w:space="0" w:color="auto"/>
      </w:divBdr>
      <w:divsChild>
        <w:div w:id="2036691658">
          <w:marLeft w:val="0"/>
          <w:marRight w:val="0"/>
          <w:marTop w:val="0"/>
          <w:marBottom w:val="0"/>
          <w:divBdr>
            <w:top w:val="none" w:sz="0" w:space="0" w:color="auto"/>
            <w:left w:val="none" w:sz="0" w:space="0" w:color="auto"/>
            <w:bottom w:val="none" w:sz="0" w:space="0" w:color="auto"/>
            <w:right w:val="none" w:sz="0" w:space="0" w:color="auto"/>
          </w:divBdr>
          <w:divsChild>
            <w:div w:id="1819610997">
              <w:marLeft w:val="0"/>
              <w:marRight w:val="0"/>
              <w:marTop w:val="0"/>
              <w:marBottom w:val="0"/>
              <w:divBdr>
                <w:top w:val="none" w:sz="0" w:space="0" w:color="auto"/>
                <w:left w:val="none" w:sz="0" w:space="0" w:color="auto"/>
                <w:bottom w:val="none" w:sz="0" w:space="0" w:color="auto"/>
                <w:right w:val="none" w:sz="0" w:space="0" w:color="auto"/>
              </w:divBdr>
              <w:divsChild>
                <w:div w:id="1896157014">
                  <w:marLeft w:val="0"/>
                  <w:marRight w:val="0"/>
                  <w:marTop w:val="0"/>
                  <w:marBottom w:val="0"/>
                  <w:divBdr>
                    <w:top w:val="none" w:sz="0" w:space="0" w:color="auto"/>
                    <w:left w:val="none" w:sz="0" w:space="0" w:color="auto"/>
                    <w:bottom w:val="none" w:sz="0" w:space="0" w:color="auto"/>
                    <w:right w:val="none" w:sz="0" w:space="0" w:color="auto"/>
                  </w:divBdr>
                  <w:divsChild>
                    <w:div w:id="1097557155">
                      <w:marLeft w:val="0"/>
                      <w:marRight w:val="0"/>
                      <w:marTop w:val="0"/>
                      <w:marBottom w:val="0"/>
                      <w:divBdr>
                        <w:top w:val="none" w:sz="0" w:space="0" w:color="auto"/>
                        <w:left w:val="none" w:sz="0" w:space="0" w:color="auto"/>
                        <w:bottom w:val="none" w:sz="0" w:space="0" w:color="auto"/>
                        <w:right w:val="none" w:sz="0" w:space="0" w:color="auto"/>
                      </w:divBdr>
                      <w:divsChild>
                        <w:div w:id="2054767452">
                          <w:marLeft w:val="0"/>
                          <w:marRight w:val="0"/>
                          <w:marTop w:val="0"/>
                          <w:marBottom w:val="0"/>
                          <w:divBdr>
                            <w:top w:val="none" w:sz="0" w:space="0" w:color="auto"/>
                            <w:left w:val="none" w:sz="0" w:space="0" w:color="auto"/>
                            <w:bottom w:val="none" w:sz="0" w:space="0" w:color="auto"/>
                            <w:right w:val="none" w:sz="0" w:space="0" w:color="auto"/>
                          </w:divBdr>
                          <w:divsChild>
                            <w:div w:id="1469931313">
                              <w:marLeft w:val="0"/>
                              <w:marRight w:val="0"/>
                              <w:marTop w:val="0"/>
                              <w:marBottom w:val="0"/>
                              <w:divBdr>
                                <w:top w:val="none" w:sz="0" w:space="0" w:color="auto"/>
                                <w:left w:val="none" w:sz="0" w:space="0" w:color="auto"/>
                                <w:bottom w:val="none" w:sz="0" w:space="0" w:color="auto"/>
                                <w:right w:val="none" w:sz="0" w:space="0" w:color="auto"/>
                              </w:divBdr>
                              <w:divsChild>
                                <w:div w:id="1948273311">
                                  <w:marLeft w:val="0"/>
                                  <w:marRight w:val="0"/>
                                  <w:marTop w:val="0"/>
                                  <w:marBottom w:val="0"/>
                                  <w:divBdr>
                                    <w:top w:val="none" w:sz="0" w:space="0" w:color="auto"/>
                                    <w:left w:val="none" w:sz="0" w:space="0" w:color="auto"/>
                                    <w:bottom w:val="none" w:sz="0" w:space="0" w:color="auto"/>
                                    <w:right w:val="none" w:sz="0" w:space="0" w:color="auto"/>
                                  </w:divBdr>
                                  <w:divsChild>
                                    <w:div w:id="2140103953">
                                      <w:marLeft w:val="0"/>
                                      <w:marRight w:val="0"/>
                                      <w:marTop w:val="0"/>
                                      <w:marBottom w:val="0"/>
                                      <w:divBdr>
                                        <w:top w:val="none" w:sz="0" w:space="0" w:color="auto"/>
                                        <w:left w:val="none" w:sz="0" w:space="0" w:color="auto"/>
                                        <w:bottom w:val="none" w:sz="0" w:space="0" w:color="auto"/>
                                        <w:right w:val="none" w:sz="0" w:space="0" w:color="auto"/>
                                      </w:divBdr>
                                      <w:divsChild>
                                        <w:div w:id="1372536446">
                                          <w:marLeft w:val="0"/>
                                          <w:marRight w:val="0"/>
                                          <w:marTop w:val="0"/>
                                          <w:marBottom w:val="0"/>
                                          <w:divBdr>
                                            <w:top w:val="none" w:sz="0" w:space="0" w:color="auto"/>
                                            <w:left w:val="none" w:sz="0" w:space="0" w:color="auto"/>
                                            <w:bottom w:val="none" w:sz="0" w:space="0" w:color="auto"/>
                                            <w:right w:val="none" w:sz="0" w:space="0" w:color="auto"/>
                                          </w:divBdr>
                                          <w:divsChild>
                                            <w:div w:id="1978686646">
                                              <w:marLeft w:val="0"/>
                                              <w:marRight w:val="0"/>
                                              <w:marTop w:val="0"/>
                                              <w:marBottom w:val="0"/>
                                              <w:divBdr>
                                                <w:top w:val="none" w:sz="0" w:space="0" w:color="auto"/>
                                                <w:left w:val="none" w:sz="0" w:space="0" w:color="auto"/>
                                                <w:bottom w:val="none" w:sz="0" w:space="0" w:color="auto"/>
                                                <w:right w:val="none" w:sz="0" w:space="0" w:color="auto"/>
                                              </w:divBdr>
                                              <w:divsChild>
                                                <w:div w:id="1854415150">
                                                  <w:marLeft w:val="0"/>
                                                  <w:marRight w:val="0"/>
                                                  <w:marTop w:val="0"/>
                                                  <w:marBottom w:val="0"/>
                                                  <w:divBdr>
                                                    <w:top w:val="none" w:sz="0" w:space="0" w:color="auto"/>
                                                    <w:left w:val="none" w:sz="0" w:space="0" w:color="auto"/>
                                                    <w:bottom w:val="none" w:sz="0" w:space="0" w:color="auto"/>
                                                    <w:right w:val="none" w:sz="0" w:space="0" w:color="auto"/>
                                                  </w:divBdr>
                                                  <w:divsChild>
                                                    <w:div w:id="1907106758">
                                                      <w:marLeft w:val="0"/>
                                                      <w:marRight w:val="0"/>
                                                      <w:marTop w:val="0"/>
                                                      <w:marBottom w:val="0"/>
                                                      <w:divBdr>
                                                        <w:top w:val="none" w:sz="0" w:space="0" w:color="auto"/>
                                                        <w:left w:val="none" w:sz="0" w:space="0" w:color="auto"/>
                                                        <w:bottom w:val="none" w:sz="0" w:space="0" w:color="auto"/>
                                                        <w:right w:val="none" w:sz="0" w:space="0" w:color="auto"/>
                                                      </w:divBdr>
                                                      <w:divsChild>
                                                        <w:div w:id="1454396985">
                                                          <w:marLeft w:val="0"/>
                                                          <w:marRight w:val="0"/>
                                                          <w:marTop w:val="0"/>
                                                          <w:marBottom w:val="0"/>
                                                          <w:divBdr>
                                                            <w:top w:val="none" w:sz="0" w:space="0" w:color="auto"/>
                                                            <w:left w:val="none" w:sz="0" w:space="0" w:color="auto"/>
                                                            <w:bottom w:val="none" w:sz="0" w:space="0" w:color="auto"/>
                                                            <w:right w:val="none" w:sz="0" w:space="0" w:color="auto"/>
                                                          </w:divBdr>
                                                          <w:divsChild>
                                                            <w:div w:id="871919442">
                                                              <w:marLeft w:val="0"/>
                                                              <w:marRight w:val="0"/>
                                                              <w:marTop w:val="0"/>
                                                              <w:marBottom w:val="0"/>
                                                              <w:divBdr>
                                                                <w:top w:val="none" w:sz="0" w:space="0" w:color="auto"/>
                                                                <w:left w:val="none" w:sz="0" w:space="0" w:color="auto"/>
                                                                <w:bottom w:val="none" w:sz="0" w:space="0" w:color="auto"/>
                                                                <w:right w:val="none" w:sz="0" w:space="0" w:color="auto"/>
                                                              </w:divBdr>
                                                              <w:divsChild>
                                                                <w:div w:id="10834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758844">
      <w:bodyDiv w:val="1"/>
      <w:marLeft w:val="0"/>
      <w:marRight w:val="0"/>
      <w:marTop w:val="0"/>
      <w:marBottom w:val="0"/>
      <w:divBdr>
        <w:top w:val="none" w:sz="0" w:space="0" w:color="auto"/>
        <w:left w:val="none" w:sz="0" w:space="0" w:color="auto"/>
        <w:bottom w:val="none" w:sz="0" w:space="0" w:color="auto"/>
        <w:right w:val="none" w:sz="0" w:space="0" w:color="auto"/>
      </w:divBdr>
    </w:div>
    <w:div w:id="1801918611">
      <w:bodyDiv w:val="1"/>
      <w:marLeft w:val="0"/>
      <w:marRight w:val="0"/>
      <w:marTop w:val="0"/>
      <w:marBottom w:val="0"/>
      <w:divBdr>
        <w:top w:val="none" w:sz="0" w:space="0" w:color="auto"/>
        <w:left w:val="none" w:sz="0" w:space="0" w:color="auto"/>
        <w:bottom w:val="none" w:sz="0" w:space="0" w:color="auto"/>
        <w:right w:val="none" w:sz="0" w:space="0" w:color="auto"/>
      </w:divBdr>
    </w:div>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ulsoom.osmany\Desktop\inflation\Copy%20of%20&#1711;&#1585;&#1575;&#1601;%20&#1585;&#1608;&#1740;%20&#1589;&#1601;&#1581;&#1607;%20%20&#1576;&#1607;%20&#1583;&#1585;&#174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4.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6.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24.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ulsoom.osmany\Desktop\inflation\Graphs\Copy%20of%20&#1711;&#1585;&#1575;&#1601;&#1607;&#1575;.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ulsoom.osmany\Desktop\inflation\Graphs\Copy%20of%20&#1711;&#1585;&#1575;&#1601;&#1607;&#1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000" b="0" i="0" u="none" strike="noStrike" baseline="0">
                <a:solidFill>
                  <a:srgbClr val="000000"/>
                </a:solidFill>
                <a:latin typeface="Calibri"/>
                <a:ea typeface="Calibri"/>
                <a:cs typeface="B Zar" pitchFamily="2" charset="-78"/>
              </a:defRPr>
            </a:pPr>
            <a:r>
              <a:rPr lang="en-US" sz="1400" b="1" i="0" strike="noStrike">
                <a:solidFill>
                  <a:srgbClr val="000000"/>
                </a:solidFill>
                <a:latin typeface="Calibri"/>
                <a:cs typeface="B Zar" pitchFamily="2" charset="-78"/>
              </a:rPr>
              <a:t>National</a:t>
            </a:r>
            <a:r>
              <a:rPr lang="en-US" sz="1400" b="1" i="0" strike="noStrike" baseline="0">
                <a:solidFill>
                  <a:srgbClr val="000000"/>
                </a:solidFill>
                <a:latin typeface="Calibri"/>
                <a:cs typeface="B Zar" pitchFamily="2" charset="-78"/>
              </a:rPr>
              <a:t> Inflation ( Y-o-Y)</a:t>
            </a:r>
            <a:r>
              <a:rPr lang="prs-AF" sz="1400" b="1" i="0" strike="noStrike">
                <a:solidFill>
                  <a:srgbClr val="000000"/>
                </a:solidFill>
                <a:latin typeface="Calibri"/>
                <a:cs typeface="B Zar" pitchFamily="2" charset="-78"/>
              </a:rPr>
              <a:t> </a:t>
            </a:r>
          </a:p>
          <a:p>
            <a:pPr>
              <a:defRPr sz="1000" b="0" i="0" u="none" strike="noStrike" baseline="0">
                <a:solidFill>
                  <a:srgbClr val="000000"/>
                </a:solidFill>
                <a:latin typeface="Calibri"/>
                <a:ea typeface="Calibri"/>
                <a:cs typeface="B Zar" pitchFamily="2" charset="-78"/>
              </a:defRPr>
            </a:pPr>
            <a:r>
              <a:rPr lang="en-US" sz="1050" b="0" i="0" strike="noStrike" baseline="0">
                <a:solidFill>
                  <a:srgbClr val="000000"/>
                </a:solidFill>
                <a:latin typeface="Calibri"/>
                <a:cs typeface="B Zar" pitchFamily="2" charset="-78"/>
              </a:rPr>
              <a:t>May2016- July 2020</a:t>
            </a:r>
            <a:endParaRPr lang="prs-AF" sz="1050" b="0" i="0" strike="noStrike">
              <a:solidFill>
                <a:srgbClr val="000000"/>
              </a:solidFill>
              <a:latin typeface="Calibri"/>
              <a:cs typeface="B Zar" pitchFamily="2" charset="-78"/>
            </a:endParaRPr>
          </a:p>
        </c:rich>
      </c:tx>
      <c:layout>
        <c:manualLayout>
          <c:xMode val="edge"/>
          <c:yMode val="edge"/>
          <c:x val="0.37520803867344998"/>
          <c:y val="2.4573928258967651E-2"/>
        </c:manualLayout>
      </c:layout>
      <c:overlay val="1"/>
    </c:title>
    <c:plotArea>
      <c:layout>
        <c:manualLayout>
          <c:layoutTarget val="inner"/>
          <c:xMode val="edge"/>
          <c:yMode val="edge"/>
          <c:x val="9.8883161693141694E-2"/>
          <c:y val="0.18710077519379845"/>
          <c:w val="0.84640799418145019"/>
          <c:h val="0.60818531404504672"/>
        </c:manualLayout>
      </c:layout>
      <c:lineChart>
        <c:grouping val="standard"/>
        <c:ser>
          <c:idx val="4"/>
          <c:order val="4"/>
          <c:tx>
            <c:strRef>
              <c:f>'Y-to-Y %Chng'!$B$2</c:f>
            </c:strRef>
          </c:tx>
          <c:spPr>
            <a:ln w="25400">
              <a:solidFill>
                <a:srgbClr val="7030A0"/>
              </a:solidFill>
            </a:ln>
          </c:spPr>
          <c:marker>
            <c:symbol val="none"/>
          </c:marker>
          <c:cat>
            <c:multiLvlStrRef>
              <c:f>'Y-to-Y %Chng'!$A$163:$A$208</c:f>
            </c:multiLvlStrRef>
          </c:cat>
          <c:val>
            <c:numRef>
              <c:f>'Y-to-Y %Chng'!$B$163:$B$208</c:f>
            </c:numRef>
          </c:val>
          <c:extLst xmlns:c16r2="http://schemas.microsoft.com/office/drawing/2015/06/chart">
            <c:ext xmlns:c16="http://schemas.microsoft.com/office/drawing/2014/chart" uri="{C3380CC4-5D6E-409C-BE32-E72D297353CC}">
              <c16:uniqueId val="{00000000-5A1B-44F8-A32A-77736CDF0DDD}"/>
            </c:ext>
          </c:extLst>
        </c:ser>
        <c:ser>
          <c:idx val="5"/>
          <c:order val="5"/>
          <c:spPr>
            <a:ln w="15875">
              <a:solidFill>
                <a:schemeClr val="tx1"/>
              </a:solidFill>
            </a:ln>
          </c:spPr>
          <c:marker>
            <c:symbol val="none"/>
          </c:marker>
          <c:cat>
            <c:multiLvlStrRef>
              <c:f>'Y-to-Y %Chng'!$A$160:$A$208</c:f>
            </c:multiLvlStrRef>
          </c:cat>
          <c:val>
            <c:numRef>
              <c:f>'Y-to-Y %Chng'!$AE$164:$AE$213</c:f>
            </c:numRef>
          </c:val>
          <c:extLst xmlns:c16r2="http://schemas.microsoft.com/office/drawing/2015/06/chart">
            <c:ext xmlns:c16="http://schemas.microsoft.com/office/drawing/2014/chart" uri="{C3380CC4-5D6E-409C-BE32-E72D297353CC}">
              <c16:uniqueId val="{00000001-5A1B-44F8-A32A-77736CDF0DDD}"/>
            </c:ext>
          </c:extLst>
        </c:ser>
        <c:ser>
          <c:idx val="6"/>
          <c:order val="6"/>
          <c:tx>
            <c:strRef>
              <c:f>'Y-to-Y %Chng'!$N$2</c:f>
            </c:strRef>
          </c:tx>
          <c:spPr>
            <a:ln>
              <a:prstDash val="dash"/>
            </a:ln>
          </c:spPr>
          <c:marker>
            <c:symbol val="none"/>
          </c:marker>
          <c:cat>
            <c:multiLvlStrRef>
              <c:f>'Y-to-Y %Chng'!$A$163:$A$208</c:f>
            </c:multiLvlStrRef>
          </c:cat>
          <c:val>
            <c:numRef>
              <c:f>'Y-to-Y %Chng'!$N$163:$N$208</c:f>
            </c:numRef>
          </c:val>
          <c:extLst xmlns:c16r2="http://schemas.microsoft.com/office/drawing/2015/06/chart">
            <c:ext xmlns:c16="http://schemas.microsoft.com/office/drawing/2014/chart" uri="{C3380CC4-5D6E-409C-BE32-E72D297353CC}">
              <c16:uniqueId val="{00000002-5A1B-44F8-A32A-77736CDF0DDD}"/>
            </c:ext>
          </c:extLst>
        </c:ser>
        <c:ser>
          <c:idx val="7"/>
          <c:order val="7"/>
          <c:tx>
            <c:strRef>
              <c:f>'Y-to-Y %Chng'!$C$2</c:f>
            </c:strRef>
          </c:tx>
          <c:spPr>
            <a:ln>
              <a:prstDash val="sysDot"/>
            </a:ln>
          </c:spPr>
          <c:marker>
            <c:symbol val="none"/>
          </c:marker>
          <c:val>
            <c:numRef>
              <c:f>'Y-to-Y %Chng'!$C$163:$C$208</c:f>
            </c:numRef>
          </c:val>
          <c:extLst xmlns:c16r2="http://schemas.microsoft.com/office/drawing/2015/06/chart">
            <c:ext xmlns:c16="http://schemas.microsoft.com/office/drawing/2014/chart" uri="{C3380CC4-5D6E-409C-BE32-E72D297353CC}">
              <c16:uniqueId val="{00000003-5A1B-44F8-A32A-77736CDF0DDD}"/>
            </c:ext>
          </c:extLst>
        </c:ser>
        <c:ser>
          <c:idx val="8"/>
          <c:order val="8"/>
          <c:tx>
            <c:strRef>
              <c:f>'[Copy of گراف روی صفحه  به دری.xls]Y-to-Y %Chng'!$B$2</c:f>
            </c:strRef>
          </c:tx>
          <c:spPr>
            <a:ln w="25400">
              <a:solidFill>
                <a:srgbClr val="7030A0"/>
              </a:solidFill>
            </a:ln>
          </c:spPr>
          <c:marker>
            <c:symbol val="none"/>
          </c:marker>
          <c:cat>
            <c:multiLvlStrRef>
              <c:f>'[Copy of گراف روی صفحه  به دری.xls]Y-to-Y %Chng'!$A$163:$A$214</c:f>
            </c:multiLvlStrRef>
          </c:cat>
          <c:val>
            <c:numRef>
              <c:f>'[Copy of گراف روی صفحه  به دری.xls]Y-to-Y %Chng'!$B$163:$B$214</c:f>
            </c:numRef>
          </c:val>
          <c:extLst xmlns:c16r2="http://schemas.microsoft.com/office/drawing/2015/06/chart">
            <c:ext xmlns:c16="http://schemas.microsoft.com/office/drawing/2014/chart" uri="{C3380CC4-5D6E-409C-BE32-E72D297353CC}">
              <c16:uniqueId val="{00000004-5A1B-44F8-A32A-77736CDF0DDD}"/>
            </c:ext>
          </c:extLst>
        </c:ser>
        <c:ser>
          <c:idx val="9"/>
          <c:order val="9"/>
          <c:tx>
            <c:strRef>
              <c:f>'[Copy of گراف روی صفحه  به دری.xls]Y-to-Y %Chng'!$N$2</c:f>
            </c:strRef>
          </c:tx>
          <c:spPr>
            <a:ln>
              <a:prstDash val="dash"/>
            </a:ln>
          </c:spPr>
          <c:marker>
            <c:symbol val="none"/>
          </c:marker>
          <c:cat>
            <c:multiLvlStrRef>
              <c:f>'[Copy of گراف روی صفحه  به دری.xls]Y-to-Y %Chng'!$A$163:$A$214</c:f>
            </c:multiLvlStrRef>
          </c:cat>
          <c:val>
            <c:numRef>
              <c:f>'[Copy of گراف روی صفحه  به دری.xls]Y-to-Y %Chng'!$N$163:$N$214</c:f>
            </c:numRef>
          </c:val>
          <c:extLst xmlns:c16r2="http://schemas.microsoft.com/office/drawing/2015/06/chart">
            <c:ext xmlns:c16="http://schemas.microsoft.com/office/drawing/2014/chart" uri="{C3380CC4-5D6E-409C-BE32-E72D297353CC}">
              <c16:uniqueId val="{00000005-5A1B-44F8-A32A-77736CDF0DDD}"/>
            </c:ext>
          </c:extLst>
        </c:ser>
        <c:ser>
          <c:idx val="10"/>
          <c:order val="10"/>
          <c:tx>
            <c:strRef>
              <c:f>'[Copy of گراف روی صفحه  به دری.xls]Y-to-Y %Chng'!$C$2</c:f>
            </c:strRef>
          </c:tx>
          <c:spPr>
            <a:ln>
              <a:prstDash val="sysDot"/>
            </a:ln>
          </c:spPr>
          <c:marker>
            <c:symbol val="none"/>
          </c:marker>
          <c:cat>
            <c:multiLvlStrRef>
              <c:f>'[Copy of گراف روی صفحه  به دری.xls]Y-to-Y %Chng'!$A$163:$A$214</c:f>
            </c:multiLvlStrRef>
          </c:cat>
          <c:val>
            <c:numRef>
              <c:f>'[Copy of گراف روی صفحه  به دری.xls]Y-to-Y %Chng'!$C$163:$C$214</c:f>
            </c:numRef>
          </c:val>
          <c:extLst xmlns:c16r2="http://schemas.microsoft.com/office/drawing/2015/06/chart">
            <c:ext xmlns:c16="http://schemas.microsoft.com/office/drawing/2014/chart" uri="{C3380CC4-5D6E-409C-BE32-E72D297353CC}">
              <c16:uniqueId val="{00000006-5A1B-44F8-A32A-77736CDF0DDD}"/>
            </c:ext>
          </c:extLst>
        </c:ser>
        <c:ser>
          <c:idx val="11"/>
          <c:order val="11"/>
          <c:spPr>
            <a:ln w="19050"/>
          </c:spPr>
          <c:marker>
            <c:symbol val="none"/>
          </c:marker>
          <c:cat>
            <c:multiLvlStrRef>
              <c:f>'[Copy of گراف روی صفحه  به دری.xls]Y-to-Y %Chng'!$A$163:$A$214</c:f>
            </c:multiLvlStrRef>
          </c:cat>
          <c:val>
            <c:numRef>
              <c:f>'[Copy of گراف روی صفحه  به دری.xls]Y-to-Y %Chng'!$AE$163:$AE$214</c:f>
            </c:numRef>
          </c:val>
          <c:extLst xmlns:c16r2="http://schemas.microsoft.com/office/drawing/2015/06/chart">
            <c:ext xmlns:c16="http://schemas.microsoft.com/office/drawing/2014/chart" uri="{C3380CC4-5D6E-409C-BE32-E72D297353CC}">
              <c16:uniqueId val="{00000007-5A1B-44F8-A32A-77736CDF0DDD}"/>
            </c:ext>
          </c:extLst>
        </c:ser>
        <c:ser>
          <c:idx val="0"/>
          <c:order val="0"/>
          <c:tx>
            <c:strRef>
              <c:f>'[Copy of گراف روی صفحه  به دری.xls]Y-to-Y %Chng'!$B$2</c:f>
              <c:strCache>
                <c:ptCount val="1"/>
                <c:pt idx="0">
                  <c:v>over all I ndex</c:v>
                </c:pt>
              </c:strCache>
            </c:strRef>
          </c:tx>
          <c:spPr>
            <a:ln w="25400">
              <a:solidFill>
                <a:srgbClr val="7030A0"/>
              </a:solidFill>
            </a:ln>
          </c:spPr>
          <c:marker>
            <c:symbol val="none"/>
          </c:marker>
          <c:dLbls>
            <c:dLbl>
              <c:idx val="5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A1B-44F8-A32A-77736CDF0DDD}"/>
                </c:ext>
              </c:extLst>
            </c:dLbl>
            <c:dLbl>
              <c:idx val="51"/>
              <c:spPr/>
              <c:txPr>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A1B-44F8-A32A-77736CDF0DDD}"/>
                </c:ext>
              </c:extLst>
            </c:dLbl>
            <c:delete val="1"/>
            <c:extLst xmlns:c16r2="http://schemas.microsoft.com/office/drawing/2015/06/chart">
              <c:ext xmlns:c15="http://schemas.microsoft.com/office/drawing/2012/chart" uri="{CE6537A1-D6FC-4f65-9D91-7224C49458BB}">
                <c15:showLeaderLines val="0"/>
              </c:ext>
            </c:extLst>
          </c:dLbls>
          <c:cat>
            <c:numRef>
              <c:f>'[Copy of گراف روی صفحه  به دری.xls]Y-to-Y %Chng'!$A$164:$A$214</c:f>
              <c:numCache>
                <c:formatCode>[$-409]mmm\-yy;@</c:formatCode>
                <c:ptCount val="51"/>
                <c:pt idx="0">
                  <c:v>42501</c:v>
                </c:pt>
                <c:pt idx="1">
                  <c:v>42532</c:v>
                </c:pt>
                <c:pt idx="2">
                  <c:v>42562</c:v>
                </c:pt>
                <c:pt idx="3">
                  <c:v>42593</c:v>
                </c:pt>
                <c:pt idx="4">
                  <c:v>42624</c:v>
                </c:pt>
                <c:pt idx="5">
                  <c:v>42654</c:v>
                </c:pt>
                <c:pt idx="6">
                  <c:v>42685</c:v>
                </c:pt>
                <c:pt idx="7">
                  <c:v>42715</c:v>
                </c:pt>
                <c:pt idx="8">
                  <c:v>42746</c:v>
                </c:pt>
                <c:pt idx="9">
                  <c:v>42777</c:v>
                </c:pt>
                <c:pt idx="10">
                  <c:v>42805</c:v>
                </c:pt>
                <c:pt idx="11">
                  <c:v>42836</c:v>
                </c:pt>
                <c:pt idx="12">
                  <c:v>42866</c:v>
                </c:pt>
                <c:pt idx="13">
                  <c:v>42897</c:v>
                </c:pt>
                <c:pt idx="14">
                  <c:v>42927</c:v>
                </c:pt>
                <c:pt idx="15">
                  <c:v>42958</c:v>
                </c:pt>
                <c:pt idx="16">
                  <c:v>42989</c:v>
                </c:pt>
                <c:pt idx="17">
                  <c:v>43019</c:v>
                </c:pt>
                <c:pt idx="18">
                  <c:v>43050</c:v>
                </c:pt>
                <c:pt idx="19">
                  <c:v>43080</c:v>
                </c:pt>
                <c:pt idx="20">
                  <c:v>43111</c:v>
                </c:pt>
                <c:pt idx="21">
                  <c:v>43142</c:v>
                </c:pt>
                <c:pt idx="22">
                  <c:v>43170</c:v>
                </c:pt>
                <c:pt idx="23">
                  <c:v>43201</c:v>
                </c:pt>
                <c:pt idx="24">
                  <c:v>43231</c:v>
                </c:pt>
                <c:pt idx="25">
                  <c:v>43262</c:v>
                </c:pt>
                <c:pt idx="26">
                  <c:v>43292</c:v>
                </c:pt>
                <c:pt idx="27">
                  <c:v>43323</c:v>
                </c:pt>
                <c:pt idx="28">
                  <c:v>43354</c:v>
                </c:pt>
                <c:pt idx="29">
                  <c:v>43384</c:v>
                </c:pt>
                <c:pt idx="30">
                  <c:v>43422</c:v>
                </c:pt>
                <c:pt idx="31">
                  <c:v>43452</c:v>
                </c:pt>
                <c:pt idx="32">
                  <c:v>43483</c:v>
                </c:pt>
                <c:pt idx="33">
                  <c:v>43514</c:v>
                </c:pt>
                <c:pt idx="34">
                  <c:v>43542</c:v>
                </c:pt>
                <c:pt idx="35">
                  <c:v>43573</c:v>
                </c:pt>
                <c:pt idx="36">
                  <c:v>43603</c:v>
                </c:pt>
                <c:pt idx="37">
                  <c:v>43634</c:v>
                </c:pt>
                <c:pt idx="38">
                  <c:v>43664</c:v>
                </c:pt>
                <c:pt idx="39">
                  <c:v>43695</c:v>
                </c:pt>
                <c:pt idx="40">
                  <c:v>43726</c:v>
                </c:pt>
                <c:pt idx="41">
                  <c:v>43756</c:v>
                </c:pt>
                <c:pt idx="42">
                  <c:v>43787</c:v>
                </c:pt>
                <c:pt idx="43">
                  <c:v>43817</c:v>
                </c:pt>
                <c:pt idx="44">
                  <c:v>43850</c:v>
                </c:pt>
                <c:pt idx="45">
                  <c:v>43881</c:v>
                </c:pt>
                <c:pt idx="46">
                  <c:v>43910</c:v>
                </c:pt>
                <c:pt idx="47">
                  <c:v>43941</c:v>
                </c:pt>
                <c:pt idx="48">
                  <c:v>43971</c:v>
                </c:pt>
                <c:pt idx="49">
                  <c:v>44002</c:v>
                </c:pt>
                <c:pt idx="50">
                  <c:v>44032</c:v>
                </c:pt>
              </c:numCache>
            </c:numRef>
          </c:cat>
          <c:val>
            <c:numRef>
              <c:f>'[Copy of گراف روی صفحه  به دری.xls]Y-to-Y %Chng'!$B$164:$B$214</c:f>
              <c:numCache>
                <c:formatCode>0.00</c:formatCode>
                <c:ptCount val="51"/>
                <c:pt idx="0">
                  <c:v>4.9964089162334968</c:v>
                </c:pt>
                <c:pt idx="1">
                  <c:v>5.9568712236045593</c:v>
                </c:pt>
                <c:pt idx="2">
                  <c:v>7.3711922038817823</c:v>
                </c:pt>
                <c:pt idx="3">
                  <c:v>7.3232790398428484</c:v>
                </c:pt>
                <c:pt idx="4">
                  <c:v>6.8628919830812318</c:v>
                </c:pt>
                <c:pt idx="5">
                  <c:v>6.6855662548356287</c:v>
                </c:pt>
                <c:pt idx="6">
                  <c:v>4.5966713473508891</c:v>
                </c:pt>
                <c:pt idx="7">
                  <c:v>4.5449879759136946</c:v>
                </c:pt>
                <c:pt idx="8">
                  <c:v>3.7524386434205637</c:v>
                </c:pt>
                <c:pt idx="9">
                  <c:v>4.0689427744656781</c:v>
                </c:pt>
                <c:pt idx="10">
                  <c:v>7.1583534461853784</c:v>
                </c:pt>
                <c:pt idx="11">
                  <c:v>6.6467562535337885</c:v>
                </c:pt>
                <c:pt idx="12">
                  <c:v>7.450304623834632</c:v>
                </c:pt>
                <c:pt idx="13">
                  <c:v>7.471127929543683</c:v>
                </c:pt>
                <c:pt idx="14">
                  <c:v>5.1113458202609543</c:v>
                </c:pt>
                <c:pt idx="15">
                  <c:v>4.5262425105829784</c:v>
                </c:pt>
                <c:pt idx="16">
                  <c:v>3.8184574223964791</c:v>
                </c:pt>
                <c:pt idx="17">
                  <c:v>3.7711472358027853</c:v>
                </c:pt>
                <c:pt idx="18">
                  <c:v>3.0945508054805559</c:v>
                </c:pt>
                <c:pt idx="19">
                  <c:v>3.0836234597493082</c:v>
                </c:pt>
                <c:pt idx="20">
                  <c:v>4.3042158484327819</c:v>
                </c:pt>
                <c:pt idx="21">
                  <c:v>3.5581228280517685</c:v>
                </c:pt>
                <c:pt idx="22">
                  <c:v>0.18416956815188179</c:v>
                </c:pt>
                <c:pt idx="23">
                  <c:v>-0.47469043624620566</c:v>
                </c:pt>
                <c:pt idx="24">
                  <c:v>-1.0504740933012457</c:v>
                </c:pt>
                <c:pt idx="25">
                  <c:v>-1.6281828633462754</c:v>
                </c:pt>
                <c:pt idx="26">
                  <c:v>-0.14063126501439041</c:v>
                </c:pt>
                <c:pt idx="27">
                  <c:v>9.4469390060525363E-2</c:v>
                </c:pt>
                <c:pt idx="28">
                  <c:v>0.24034248818776188</c:v>
                </c:pt>
                <c:pt idx="29">
                  <c:v>0.79934694552317165</c:v>
                </c:pt>
                <c:pt idx="30">
                  <c:v>1.108694469947036</c:v>
                </c:pt>
                <c:pt idx="31">
                  <c:v>0.75473812507633742</c:v>
                </c:pt>
                <c:pt idx="32">
                  <c:v>0.41000000000000031</c:v>
                </c:pt>
                <c:pt idx="33">
                  <c:v>0.30000000000000032</c:v>
                </c:pt>
                <c:pt idx="34">
                  <c:v>1.7700000000000002</c:v>
                </c:pt>
                <c:pt idx="35">
                  <c:v>3.63</c:v>
                </c:pt>
                <c:pt idx="36">
                  <c:v>4.88</c:v>
                </c:pt>
                <c:pt idx="37">
                  <c:v>4.0317302639912178</c:v>
                </c:pt>
                <c:pt idx="38">
                  <c:v>2.77</c:v>
                </c:pt>
                <c:pt idx="39">
                  <c:v>2.92</c:v>
                </c:pt>
                <c:pt idx="40">
                  <c:v>1.85</c:v>
                </c:pt>
                <c:pt idx="41">
                  <c:v>1.1200000000000001</c:v>
                </c:pt>
                <c:pt idx="42">
                  <c:v>1.22</c:v>
                </c:pt>
                <c:pt idx="43">
                  <c:v>2.77</c:v>
                </c:pt>
                <c:pt idx="44">
                  <c:v>3.7501061529241735</c:v>
                </c:pt>
                <c:pt idx="45">
                  <c:v>3.84</c:v>
                </c:pt>
                <c:pt idx="46">
                  <c:v>3.02</c:v>
                </c:pt>
                <c:pt idx="47">
                  <c:v>8.67</c:v>
                </c:pt>
                <c:pt idx="48">
                  <c:v>6.26</c:v>
                </c:pt>
                <c:pt idx="49">
                  <c:v>6.3599999999999985</c:v>
                </c:pt>
                <c:pt idx="50">
                  <c:v>6.33</c:v>
                </c:pt>
              </c:numCache>
            </c:numRef>
          </c:val>
          <c:extLst xmlns:c16r2="http://schemas.microsoft.com/office/drawing/2015/06/chart">
            <c:ext xmlns:c16="http://schemas.microsoft.com/office/drawing/2014/chart" uri="{C3380CC4-5D6E-409C-BE32-E72D297353CC}">
              <c16:uniqueId val="{0000000A-5A1B-44F8-A32A-77736CDF0DDD}"/>
            </c:ext>
          </c:extLst>
        </c:ser>
        <c:ser>
          <c:idx val="2"/>
          <c:order val="1"/>
          <c:tx>
            <c:strRef>
              <c:f>'[Copy of گراف روی صفحه  به دری.xls]Y-to-Y %Chng'!$N$2</c:f>
              <c:strCache>
                <c:ptCount val="1"/>
                <c:pt idx="0">
                  <c:v>Non-food </c:v>
                </c:pt>
              </c:strCache>
            </c:strRef>
          </c:tx>
          <c:spPr>
            <a:ln>
              <a:prstDash val="dash"/>
            </a:ln>
          </c:spPr>
          <c:marker>
            <c:symbol val="none"/>
          </c:marker>
          <c:dLbls>
            <c:dLbl>
              <c:idx val="49"/>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A1B-44F8-A32A-77736CDF0DDD}"/>
                </c:ext>
              </c:extLst>
            </c:dLbl>
            <c:delete val="1"/>
            <c:extLst xmlns:c16r2="http://schemas.microsoft.com/office/drawing/2015/06/chart">
              <c:ext xmlns:c15="http://schemas.microsoft.com/office/drawing/2012/chart" uri="{CE6537A1-D6FC-4f65-9D91-7224C49458BB}">
                <c15:showLeaderLines val="0"/>
              </c:ext>
            </c:extLst>
          </c:dLbls>
          <c:cat>
            <c:numRef>
              <c:f>'[Copy of گراف روی صفحه  به دری.xls]Y-to-Y %Chng'!$A$164:$A$214</c:f>
              <c:numCache>
                <c:formatCode>[$-409]mmm\-yy;@</c:formatCode>
                <c:ptCount val="51"/>
                <c:pt idx="0">
                  <c:v>42501</c:v>
                </c:pt>
                <c:pt idx="1">
                  <c:v>42532</c:v>
                </c:pt>
                <c:pt idx="2">
                  <c:v>42562</c:v>
                </c:pt>
                <c:pt idx="3">
                  <c:v>42593</c:v>
                </c:pt>
                <c:pt idx="4">
                  <c:v>42624</c:v>
                </c:pt>
                <c:pt idx="5">
                  <c:v>42654</c:v>
                </c:pt>
                <c:pt idx="6">
                  <c:v>42685</c:v>
                </c:pt>
                <c:pt idx="7">
                  <c:v>42715</c:v>
                </c:pt>
                <c:pt idx="8">
                  <c:v>42746</c:v>
                </c:pt>
                <c:pt idx="9">
                  <c:v>42777</c:v>
                </c:pt>
                <c:pt idx="10">
                  <c:v>42805</c:v>
                </c:pt>
                <c:pt idx="11">
                  <c:v>42836</c:v>
                </c:pt>
                <c:pt idx="12">
                  <c:v>42866</c:v>
                </c:pt>
                <c:pt idx="13">
                  <c:v>42897</c:v>
                </c:pt>
                <c:pt idx="14">
                  <c:v>42927</c:v>
                </c:pt>
                <c:pt idx="15">
                  <c:v>42958</c:v>
                </c:pt>
                <c:pt idx="16">
                  <c:v>42989</c:v>
                </c:pt>
                <c:pt idx="17">
                  <c:v>43019</c:v>
                </c:pt>
                <c:pt idx="18">
                  <c:v>43050</c:v>
                </c:pt>
                <c:pt idx="19">
                  <c:v>43080</c:v>
                </c:pt>
                <c:pt idx="20">
                  <c:v>43111</c:v>
                </c:pt>
                <c:pt idx="21">
                  <c:v>43142</c:v>
                </c:pt>
                <c:pt idx="22">
                  <c:v>43170</c:v>
                </c:pt>
                <c:pt idx="23">
                  <c:v>43201</c:v>
                </c:pt>
                <c:pt idx="24">
                  <c:v>43231</c:v>
                </c:pt>
                <c:pt idx="25">
                  <c:v>43262</c:v>
                </c:pt>
                <c:pt idx="26">
                  <c:v>43292</c:v>
                </c:pt>
                <c:pt idx="27">
                  <c:v>43323</c:v>
                </c:pt>
                <c:pt idx="28">
                  <c:v>43354</c:v>
                </c:pt>
                <c:pt idx="29">
                  <c:v>43384</c:v>
                </c:pt>
                <c:pt idx="30">
                  <c:v>43422</c:v>
                </c:pt>
                <c:pt idx="31">
                  <c:v>43452</c:v>
                </c:pt>
                <c:pt idx="32">
                  <c:v>43483</c:v>
                </c:pt>
                <c:pt idx="33">
                  <c:v>43514</c:v>
                </c:pt>
                <c:pt idx="34">
                  <c:v>43542</c:v>
                </c:pt>
                <c:pt idx="35">
                  <c:v>43573</c:v>
                </c:pt>
                <c:pt idx="36">
                  <c:v>43603</c:v>
                </c:pt>
                <c:pt idx="37">
                  <c:v>43634</c:v>
                </c:pt>
                <c:pt idx="38">
                  <c:v>43664</c:v>
                </c:pt>
                <c:pt idx="39">
                  <c:v>43695</c:v>
                </c:pt>
                <c:pt idx="40">
                  <c:v>43726</c:v>
                </c:pt>
                <c:pt idx="41">
                  <c:v>43756</c:v>
                </c:pt>
                <c:pt idx="42">
                  <c:v>43787</c:v>
                </c:pt>
                <c:pt idx="43">
                  <c:v>43817</c:v>
                </c:pt>
                <c:pt idx="44">
                  <c:v>43850</c:v>
                </c:pt>
                <c:pt idx="45">
                  <c:v>43881</c:v>
                </c:pt>
                <c:pt idx="46">
                  <c:v>43910</c:v>
                </c:pt>
                <c:pt idx="47">
                  <c:v>43941</c:v>
                </c:pt>
                <c:pt idx="48">
                  <c:v>43971</c:v>
                </c:pt>
                <c:pt idx="49">
                  <c:v>44002</c:v>
                </c:pt>
                <c:pt idx="50">
                  <c:v>44032</c:v>
                </c:pt>
              </c:numCache>
            </c:numRef>
          </c:cat>
          <c:val>
            <c:numRef>
              <c:f>'[Copy of گراف روی صفحه  به دری.xls]Y-to-Y %Chng'!$N$164:$N$214</c:f>
              <c:numCache>
                <c:formatCode>0.00</c:formatCode>
                <c:ptCount val="51"/>
                <c:pt idx="0">
                  <c:v>4.753116813296236</c:v>
                </c:pt>
                <c:pt idx="1">
                  <c:v>5.0186592572289745</c:v>
                </c:pt>
                <c:pt idx="2">
                  <c:v>5.8755350154210628</c:v>
                </c:pt>
                <c:pt idx="3">
                  <c:v>5.6263230038644094</c:v>
                </c:pt>
                <c:pt idx="4">
                  <c:v>5.2499085368370215</c:v>
                </c:pt>
                <c:pt idx="5">
                  <c:v>5.1310364697819688</c:v>
                </c:pt>
                <c:pt idx="6">
                  <c:v>2.8499999999999988</c:v>
                </c:pt>
                <c:pt idx="7">
                  <c:v>3.3687708601776611</c:v>
                </c:pt>
                <c:pt idx="8">
                  <c:v>2.8901417884106282</c:v>
                </c:pt>
                <c:pt idx="9">
                  <c:v>3.6259941614841051</c:v>
                </c:pt>
                <c:pt idx="10">
                  <c:v>4.4836870129517914</c:v>
                </c:pt>
                <c:pt idx="11">
                  <c:v>4.104934520579306</c:v>
                </c:pt>
                <c:pt idx="12">
                  <c:v>4.4074021872893496</c:v>
                </c:pt>
                <c:pt idx="13">
                  <c:v>4.2972622980998834</c:v>
                </c:pt>
                <c:pt idx="14">
                  <c:v>3.0147621503888695</c:v>
                </c:pt>
                <c:pt idx="15">
                  <c:v>3.2765981736251089</c:v>
                </c:pt>
                <c:pt idx="16">
                  <c:v>2.3767712834082046</c:v>
                </c:pt>
                <c:pt idx="17">
                  <c:v>2.2371315881420797</c:v>
                </c:pt>
                <c:pt idx="18">
                  <c:v>1.6453865751676622</c:v>
                </c:pt>
                <c:pt idx="19">
                  <c:v>1.7197612626667518</c:v>
                </c:pt>
                <c:pt idx="20">
                  <c:v>3.1228193944640137</c:v>
                </c:pt>
                <c:pt idx="21">
                  <c:v>2.8114253641673193</c:v>
                </c:pt>
                <c:pt idx="22">
                  <c:v>1.9578384688930817</c:v>
                </c:pt>
                <c:pt idx="23">
                  <c:v>1.5739083075314562</c:v>
                </c:pt>
                <c:pt idx="24">
                  <c:v>1.4925068925164529</c:v>
                </c:pt>
                <c:pt idx="25">
                  <c:v>1.7050065662463703</c:v>
                </c:pt>
                <c:pt idx="26">
                  <c:v>3.1064436821045067</c:v>
                </c:pt>
                <c:pt idx="27">
                  <c:v>2.63</c:v>
                </c:pt>
                <c:pt idx="28">
                  <c:v>2.2999999999999998</c:v>
                </c:pt>
                <c:pt idx="29">
                  <c:v>2.3699999999999997</c:v>
                </c:pt>
                <c:pt idx="30">
                  <c:v>2.67</c:v>
                </c:pt>
                <c:pt idx="31">
                  <c:v>1.7600000000000002</c:v>
                </c:pt>
                <c:pt idx="32">
                  <c:v>1.1900000000000013</c:v>
                </c:pt>
                <c:pt idx="33">
                  <c:v>0.5</c:v>
                </c:pt>
                <c:pt idx="34">
                  <c:v>0.13</c:v>
                </c:pt>
                <c:pt idx="35">
                  <c:v>2.2400000000000002</c:v>
                </c:pt>
                <c:pt idx="36">
                  <c:v>2.8499999999999988</c:v>
                </c:pt>
                <c:pt idx="37" formatCode="[$-3000401]0.00">
                  <c:v>0</c:v>
                </c:pt>
                <c:pt idx="38">
                  <c:v>1</c:v>
                </c:pt>
                <c:pt idx="39">
                  <c:v>0</c:v>
                </c:pt>
                <c:pt idx="40">
                  <c:v>0</c:v>
                </c:pt>
                <c:pt idx="41">
                  <c:v>0</c:v>
                </c:pt>
                <c:pt idx="42">
                  <c:v>0</c:v>
                </c:pt>
                <c:pt idx="43" formatCode="General">
                  <c:v>0.77000000000000068</c:v>
                </c:pt>
                <c:pt idx="44" formatCode="General">
                  <c:v>1.6500000000000001</c:v>
                </c:pt>
                <c:pt idx="45">
                  <c:v>1.3900000000000001</c:v>
                </c:pt>
                <c:pt idx="46">
                  <c:v>1.04</c:v>
                </c:pt>
                <c:pt idx="47">
                  <c:v>1.03</c:v>
                </c:pt>
                <c:pt idx="48">
                  <c:v>0.2</c:v>
                </c:pt>
                <c:pt idx="49">
                  <c:v>0.13</c:v>
                </c:pt>
                <c:pt idx="50">
                  <c:v>0.31000000000000033</c:v>
                </c:pt>
              </c:numCache>
            </c:numRef>
          </c:val>
          <c:extLst xmlns:c16r2="http://schemas.microsoft.com/office/drawing/2015/06/chart">
            <c:ext xmlns:c16="http://schemas.microsoft.com/office/drawing/2014/chart" uri="{C3380CC4-5D6E-409C-BE32-E72D297353CC}">
              <c16:uniqueId val="{0000000C-5A1B-44F8-A32A-77736CDF0DDD}"/>
            </c:ext>
          </c:extLst>
        </c:ser>
        <c:ser>
          <c:idx val="1"/>
          <c:order val="2"/>
          <c:tx>
            <c:strRef>
              <c:f>'[Copy of گراف روی صفحه  به دری.xls]Y-to-Y %Chng'!$C$2</c:f>
              <c:strCache>
                <c:ptCount val="1"/>
                <c:pt idx="0">
                  <c:v>Food </c:v>
                </c:pt>
              </c:strCache>
            </c:strRef>
          </c:tx>
          <c:spPr>
            <a:ln>
              <a:prstDash val="sysDot"/>
            </a:ln>
          </c:spPr>
          <c:marker>
            <c:symbol val="none"/>
          </c:marker>
          <c:dLbls>
            <c:dLbl>
              <c:idx val="5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A1B-44F8-A32A-77736CDF0DDD}"/>
                </c:ext>
              </c:extLst>
            </c:dLbl>
            <c:dLbl>
              <c:idx val="51"/>
              <c:spPr/>
              <c:txPr>
                <a:bodyPr/>
                <a:lstStyle/>
                <a:p>
                  <a:pPr>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A1B-44F8-A32A-77736CDF0DDD}"/>
                </c:ext>
              </c:extLst>
            </c:dLbl>
            <c:delete val="1"/>
            <c:extLst xmlns:c16r2="http://schemas.microsoft.com/office/drawing/2015/06/chart">
              <c:ext xmlns:c15="http://schemas.microsoft.com/office/drawing/2012/chart" uri="{CE6537A1-D6FC-4f65-9D91-7224C49458BB}">
                <c15:showLeaderLines val="0"/>
              </c:ext>
            </c:extLst>
          </c:dLbls>
          <c:cat>
            <c:numRef>
              <c:f>'[Copy of گراف روی صفحه  به دری.xls]Y-to-Y %Chng'!$A$164:$A$214</c:f>
              <c:numCache>
                <c:formatCode>[$-409]mmm\-yy;@</c:formatCode>
                <c:ptCount val="51"/>
                <c:pt idx="0">
                  <c:v>42501</c:v>
                </c:pt>
                <c:pt idx="1">
                  <c:v>42532</c:v>
                </c:pt>
                <c:pt idx="2">
                  <c:v>42562</c:v>
                </c:pt>
                <c:pt idx="3">
                  <c:v>42593</c:v>
                </c:pt>
                <c:pt idx="4">
                  <c:v>42624</c:v>
                </c:pt>
                <c:pt idx="5">
                  <c:v>42654</c:v>
                </c:pt>
                <c:pt idx="6">
                  <c:v>42685</c:v>
                </c:pt>
                <c:pt idx="7">
                  <c:v>42715</c:v>
                </c:pt>
                <c:pt idx="8">
                  <c:v>42746</c:v>
                </c:pt>
                <c:pt idx="9">
                  <c:v>42777</c:v>
                </c:pt>
                <c:pt idx="10">
                  <c:v>42805</c:v>
                </c:pt>
                <c:pt idx="11">
                  <c:v>42836</c:v>
                </c:pt>
                <c:pt idx="12">
                  <c:v>42866</c:v>
                </c:pt>
                <c:pt idx="13">
                  <c:v>42897</c:v>
                </c:pt>
                <c:pt idx="14">
                  <c:v>42927</c:v>
                </c:pt>
                <c:pt idx="15">
                  <c:v>42958</c:v>
                </c:pt>
                <c:pt idx="16">
                  <c:v>42989</c:v>
                </c:pt>
                <c:pt idx="17">
                  <c:v>43019</c:v>
                </c:pt>
                <c:pt idx="18">
                  <c:v>43050</c:v>
                </c:pt>
                <c:pt idx="19">
                  <c:v>43080</c:v>
                </c:pt>
                <c:pt idx="20">
                  <c:v>43111</c:v>
                </c:pt>
                <c:pt idx="21">
                  <c:v>43142</c:v>
                </c:pt>
                <c:pt idx="22">
                  <c:v>43170</c:v>
                </c:pt>
                <c:pt idx="23">
                  <c:v>43201</c:v>
                </c:pt>
                <c:pt idx="24">
                  <c:v>43231</c:v>
                </c:pt>
                <c:pt idx="25">
                  <c:v>43262</c:v>
                </c:pt>
                <c:pt idx="26">
                  <c:v>43292</c:v>
                </c:pt>
                <c:pt idx="27">
                  <c:v>43323</c:v>
                </c:pt>
                <c:pt idx="28">
                  <c:v>43354</c:v>
                </c:pt>
                <c:pt idx="29">
                  <c:v>43384</c:v>
                </c:pt>
                <c:pt idx="30">
                  <c:v>43422</c:v>
                </c:pt>
                <c:pt idx="31">
                  <c:v>43452</c:v>
                </c:pt>
                <c:pt idx="32">
                  <c:v>43483</c:v>
                </c:pt>
                <c:pt idx="33">
                  <c:v>43514</c:v>
                </c:pt>
                <c:pt idx="34">
                  <c:v>43542</c:v>
                </c:pt>
                <c:pt idx="35">
                  <c:v>43573</c:v>
                </c:pt>
                <c:pt idx="36">
                  <c:v>43603</c:v>
                </c:pt>
                <c:pt idx="37">
                  <c:v>43634</c:v>
                </c:pt>
                <c:pt idx="38">
                  <c:v>43664</c:v>
                </c:pt>
                <c:pt idx="39">
                  <c:v>43695</c:v>
                </c:pt>
                <c:pt idx="40">
                  <c:v>43726</c:v>
                </c:pt>
                <c:pt idx="41">
                  <c:v>43756</c:v>
                </c:pt>
                <c:pt idx="42">
                  <c:v>43787</c:v>
                </c:pt>
                <c:pt idx="43">
                  <c:v>43817</c:v>
                </c:pt>
                <c:pt idx="44">
                  <c:v>43850</c:v>
                </c:pt>
                <c:pt idx="45">
                  <c:v>43881</c:v>
                </c:pt>
                <c:pt idx="46">
                  <c:v>43910</c:v>
                </c:pt>
                <c:pt idx="47">
                  <c:v>43941</c:v>
                </c:pt>
                <c:pt idx="48">
                  <c:v>43971</c:v>
                </c:pt>
                <c:pt idx="49">
                  <c:v>44002</c:v>
                </c:pt>
                <c:pt idx="50">
                  <c:v>44032</c:v>
                </c:pt>
              </c:numCache>
            </c:numRef>
          </c:cat>
          <c:val>
            <c:numRef>
              <c:f>'[Copy of گراف روی صفحه  به دری.xls]Y-to-Y %Chng'!$C$164:$C$214</c:f>
              <c:numCache>
                <c:formatCode>0.00</c:formatCode>
                <c:ptCount val="51"/>
                <c:pt idx="0">
                  <c:v>5.2113089812310607</c:v>
                </c:pt>
                <c:pt idx="1">
                  <c:v>6.7945920518605885</c:v>
                </c:pt>
                <c:pt idx="2">
                  <c:v>8.719993976670958</c:v>
                </c:pt>
                <c:pt idx="3">
                  <c:v>8.8623687073239097</c:v>
                </c:pt>
                <c:pt idx="4">
                  <c:v>8.3354668754669152</c:v>
                </c:pt>
                <c:pt idx="5">
                  <c:v>8.1056466949563823</c:v>
                </c:pt>
                <c:pt idx="6">
                  <c:v>6.56</c:v>
                </c:pt>
                <c:pt idx="7">
                  <c:v>5.8499710090147694</c:v>
                </c:pt>
                <c:pt idx="8">
                  <c:v>4.6983281584911829</c:v>
                </c:pt>
                <c:pt idx="9">
                  <c:v>4.5536726042184004</c:v>
                </c:pt>
                <c:pt idx="10">
                  <c:v>10.028383305689669</c:v>
                </c:pt>
                <c:pt idx="11">
                  <c:v>9.3678798853603205</c:v>
                </c:pt>
                <c:pt idx="12">
                  <c:v>10.723921246509981</c:v>
                </c:pt>
                <c:pt idx="13">
                  <c:v>10.879359670662424</c:v>
                </c:pt>
                <c:pt idx="14">
                  <c:v>7.3538935499875446</c:v>
                </c:pt>
                <c:pt idx="15">
                  <c:v>5.8627610231287042</c:v>
                </c:pt>
                <c:pt idx="16">
                  <c:v>5.3776399174831289</c:v>
                </c:pt>
                <c:pt idx="17">
                  <c:v>5.4355708522789872</c:v>
                </c:pt>
                <c:pt idx="18">
                  <c:v>4.6633799889969065</c:v>
                </c:pt>
                <c:pt idx="19">
                  <c:v>4.5535304394723966</c:v>
                </c:pt>
                <c:pt idx="20">
                  <c:v>5.5685862868997731</c:v>
                </c:pt>
                <c:pt idx="21">
                  <c:v>4.3567055307576865</c:v>
                </c:pt>
                <c:pt idx="22">
                  <c:v>-1.6231422845134347</c:v>
                </c:pt>
                <c:pt idx="23">
                  <c:v>-2.5622631393379725</c:v>
                </c:pt>
                <c:pt idx="24">
                  <c:v>-3.6301950663207405</c:v>
                </c:pt>
                <c:pt idx="25">
                  <c:v>-4.995025169238076</c:v>
                </c:pt>
                <c:pt idx="26">
                  <c:v>-3.4733869140411544</c:v>
                </c:pt>
                <c:pt idx="27">
                  <c:v>-2.5499999999999998</c:v>
                </c:pt>
                <c:pt idx="28">
                  <c:v>-1.930000000000001</c:v>
                </c:pt>
                <c:pt idx="29">
                  <c:v>-0.85000000000000064</c:v>
                </c:pt>
                <c:pt idx="30">
                  <c:v>-0.53</c:v>
                </c:pt>
                <c:pt idx="31">
                  <c:v>-0.30000000000000032</c:v>
                </c:pt>
                <c:pt idx="32">
                  <c:v>-0.41000000000000031</c:v>
                </c:pt>
                <c:pt idx="33">
                  <c:v>0.4</c:v>
                </c:pt>
                <c:pt idx="34">
                  <c:v>2.62</c:v>
                </c:pt>
                <c:pt idx="35">
                  <c:v>5.1199999999999966</c:v>
                </c:pt>
                <c:pt idx="36">
                  <c:v>7.04</c:v>
                </c:pt>
                <c:pt idx="37">
                  <c:v>5.8550554356483264</c:v>
                </c:pt>
                <c:pt idx="38">
                  <c:v>4.71</c:v>
                </c:pt>
                <c:pt idx="39">
                  <c:v>0</c:v>
                </c:pt>
                <c:pt idx="40">
                  <c:v>4.13</c:v>
                </c:pt>
                <c:pt idx="41">
                  <c:v>2.8499999999999988</c:v>
                </c:pt>
                <c:pt idx="42">
                  <c:v>3.29</c:v>
                </c:pt>
                <c:pt idx="43">
                  <c:v>4.91</c:v>
                </c:pt>
                <c:pt idx="44">
                  <c:v>5.9853489034299914</c:v>
                </c:pt>
                <c:pt idx="45">
                  <c:v>6.4300000000000024</c:v>
                </c:pt>
                <c:pt idx="46">
                  <c:v>5.07</c:v>
                </c:pt>
                <c:pt idx="47">
                  <c:v>16.559999999999999</c:v>
                </c:pt>
                <c:pt idx="48">
                  <c:v>12.92</c:v>
                </c:pt>
                <c:pt idx="49">
                  <c:v>12.88</c:v>
                </c:pt>
                <c:pt idx="50">
                  <c:v>12.71</c:v>
                </c:pt>
              </c:numCache>
            </c:numRef>
          </c:val>
          <c:extLst xmlns:c16r2="http://schemas.microsoft.com/office/drawing/2015/06/chart">
            <c:ext xmlns:c16="http://schemas.microsoft.com/office/drawing/2014/chart" uri="{C3380CC4-5D6E-409C-BE32-E72D297353CC}">
              <c16:uniqueId val="{0000000F-5A1B-44F8-A32A-77736CDF0DDD}"/>
            </c:ext>
          </c:extLst>
        </c:ser>
        <c:ser>
          <c:idx val="3"/>
          <c:order val="3"/>
          <c:spPr>
            <a:ln w="19050"/>
          </c:spPr>
          <c:marker>
            <c:symbol val="none"/>
          </c:marker>
          <c:cat>
            <c:numRef>
              <c:f>'[Copy of گراف روی صفحه  به دری.xls]Y-to-Y %Chng'!$A$164:$A$214</c:f>
              <c:numCache>
                <c:formatCode>[$-409]mmm\-yy;@</c:formatCode>
                <c:ptCount val="51"/>
                <c:pt idx="0">
                  <c:v>42501</c:v>
                </c:pt>
                <c:pt idx="1">
                  <c:v>42532</c:v>
                </c:pt>
                <c:pt idx="2">
                  <c:v>42562</c:v>
                </c:pt>
                <c:pt idx="3">
                  <c:v>42593</c:v>
                </c:pt>
                <c:pt idx="4">
                  <c:v>42624</c:v>
                </c:pt>
                <c:pt idx="5">
                  <c:v>42654</c:v>
                </c:pt>
                <c:pt idx="6">
                  <c:v>42685</c:v>
                </c:pt>
                <c:pt idx="7">
                  <c:v>42715</c:v>
                </c:pt>
                <c:pt idx="8">
                  <c:v>42746</c:v>
                </c:pt>
                <c:pt idx="9">
                  <c:v>42777</c:v>
                </c:pt>
                <c:pt idx="10">
                  <c:v>42805</c:v>
                </c:pt>
                <c:pt idx="11">
                  <c:v>42836</c:v>
                </c:pt>
                <c:pt idx="12">
                  <c:v>42866</c:v>
                </c:pt>
                <c:pt idx="13">
                  <c:v>42897</c:v>
                </c:pt>
                <c:pt idx="14">
                  <c:v>42927</c:v>
                </c:pt>
                <c:pt idx="15">
                  <c:v>42958</c:v>
                </c:pt>
                <c:pt idx="16">
                  <c:v>42989</c:v>
                </c:pt>
                <c:pt idx="17">
                  <c:v>43019</c:v>
                </c:pt>
                <c:pt idx="18">
                  <c:v>43050</c:v>
                </c:pt>
                <c:pt idx="19">
                  <c:v>43080</c:v>
                </c:pt>
                <c:pt idx="20">
                  <c:v>43111</c:v>
                </c:pt>
                <c:pt idx="21">
                  <c:v>43142</c:v>
                </c:pt>
                <c:pt idx="22">
                  <c:v>43170</c:v>
                </c:pt>
                <c:pt idx="23">
                  <c:v>43201</c:v>
                </c:pt>
                <c:pt idx="24">
                  <c:v>43231</c:v>
                </c:pt>
                <c:pt idx="25">
                  <c:v>43262</c:v>
                </c:pt>
                <c:pt idx="26">
                  <c:v>43292</c:v>
                </c:pt>
                <c:pt idx="27">
                  <c:v>43323</c:v>
                </c:pt>
                <c:pt idx="28">
                  <c:v>43354</c:v>
                </c:pt>
                <c:pt idx="29">
                  <c:v>43384</c:v>
                </c:pt>
                <c:pt idx="30">
                  <c:v>43422</c:v>
                </c:pt>
                <c:pt idx="31">
                  <c:v>43452</c:v>
                </c:pt>
                <c:pt idx="32">
                  <c:v>43483</c:v>
                </c:pt>
                <c:pt idx="33">
                  <c:v>43514</c:v>
                </c:pt>
                <c:pt idx="34">
                  <c:v>43542</c:v>
                </c:pt>
                <c:pt idx="35">
                  <c:v>43573</c:v>
                </c:pt>
                <c:pt idx="36">
                  <c:v>43603</c:v>
                </c:pt>
                <c:pt idx="37">
                  <c:v>43634</c:v>
                </c:pt>
                <c:pt idx="38">
                  <c:v>43664</c:v>
                </c:pt>
                <c:pt idx="39">
                  <c:v>43695</c:v>
                </c:pt>
                <c:pt idx="40">
                  <c:v>43726</c:v>
                </c:pt>
                <c:pt idx="41">
                  <c:v>43756</c:v>
                </c:pt>
                <c:pt idx="42">
                  <c:v>43787</c:v>
                </c:pt>
                <c:pt idx="43">
                  <c:v>43817</c:v>
                </c:pt>
                <c:pt idx="44">
                  <c:v>43850</c:v>
                </c:pt>
                <c:pt idx="45">
                  <c:v>43881</c:v>
                </c:pt>
                <c:pt idx="46">
                  <c:v>43910</c:v>
                </c:pt>
                <c:pt idx="47">
                  <c:v>43941</c:v>
                </c:pt>
                <c:pt idx="48">
                  <c:v>43971</c:v>
                </c:pt>
                <c:pt idx="49">
                  <c:v>44002</c:v>
                </c:pt>
                <c:pt idx="50">
                  <c:v>44032</c:v>
                </c:pt>
              </c:numCache>
            </c:numRef>
          </c:cat>
          <c:val>
            <c:numRef>
              <c:f>'[Copy of گراف روی صفحه  به دری.xls]Y-to-Y %Chng'!$AE$164:$AE$214</c:f>
              <c:numCache>
                <c:formatCode>General</c:formatCode>
                <c:ptCount val="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numCache>
            </c:numRef>
          </c:val>
          <c:extLst xmlns:c16r2="http://schemas.microsoft.com/office/drawing/2015/06/chart">
            <c:ext xmlns:c16="http://schemas.microsoft.com/office/drawing/2014/chart" uri="{C3380CC4-5D6E-409C-BE32-E72D297353CC}">
              <c16:uniqueId val="{00000010-5A1B-44F8-A32A-77736CDF0DDD}"/>
            </c:ext>
          </c:extLst>
        </c:ser>
        <c:marker val="1"/>
        <c:axId val="148567552"/>
        <c:axId val="148569088"/>
      </c:lineChart>
      <c:catAx>
        <c:axId val="148567552"/>
        <c:scaling>
          <c:orientation val="minMax"/>
        </c:scaling>
        <c:axPos val="b"/>
        <c:numFmt formatCode="[$-409]mmm\-yy;@" sourceLinked="1"/>
        <c:tickLblPos val="nextTo"/>
        <c:spPr>
          <a:ln w="3175">
            <a:solidFill>
              <a:schemeClr val="tx1"/>
            </a:solidFill>
          </a:ln>
        </c:spPr>
        <c:txPr>
          <a:bodyPr rot="-2700000" vert="horz"/>
          <a:lstStyle/>
          <a:p>
            <a:pPr>
              <a:defRPr sz="800">
                <a:latin typeface="Calibri "/>
                <a:cs typeface="B Zar" pitchFamily="2" charset="-78"/>
              </a:defRPr>
            </a:pPr>
            <a:endParaRPr lang="en-US"/>
          </a:p>
        </c:txPr>
        <c:crossAx val="148569088"/>
        <c:crossesAt val="-6"/>
        <c:lblAlgn val="ctr"/>
        <c:lblOffset val="100"/>
        <c:tickLblSkip val="2"/>
      </c:catAx>
      <c:valAx>
        <c:axId val="148569088"/>
        <c:scaling>
          <c:orientation val="minMax"/>
          <c:max val="17"/>
          <c:min val="-7"/>
        </c:scaling>
        <c:axPos val="l"/>
        <c:numFmt formatCode="0.0" sourceLinked="0"/>
        <c:tickLblPos val="nextTo"/>
        <c:spPr>
          <a:solidFill>
            <a:schemeClr val="bg1">
              <a:lumMod val="95000"/>
            </a:schemeClr>
          </a:solidFill>
        </c:spPr>
        <c:txPr>
          <a:bodyPr/>
          <a:lstStyle/>
          <a:p>
            <a:pPr>
              <a:defRPr sz="800">
                <a:latin typeface="Calibri "/>
                <a:cs typeface="B Zar" pitchFamily="2" charset="-78"/>
              </a:defRPr>
            </a:pPr>
            <a:endParaRPr lang="en-US"/>
          </a:p>
        </c:txPr>
        <c:crossAx val="148567552"/>
        <c:crosses val="autoZero"/>
        <c:crossBetween val="between"/>
        <c:majorUnit val="3"/>
        <c:minorUnit val="2"/>
      </c:valAx>
      <c:spPr>
        <a:noFill/>
        <a:ln w="25400">
          <a:noFill/>
        </a:ln>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0.16497055160330162"/>
          <c:y val="0.22854668166479211"/>
          <c:w val="0.62286645134505669"/>
          <c:h val="5.6005999250093766E-2"/>
        </c:manualLayout>
      </c:layout>
      <c:txPr>
        <a:bodyPr/>
        <a:lstStyle/>
        <a:p>
          <a:pPr>
            <a:defRPr sz="1200"/>
          </a:pPr>
          <a:endParaRPr lang="en-US"/>
        </a:p>
      </c:txPr>
    </c:legend>
    <c:plotVisOnly val="1"/>
    <c:dispBlanksAs val="zero"/>
  </c:chart>
  <c:spPr>
    <a:ln w="9525" cap="flat">
      <a:solidFill>
        <a:srgbClr val="7030A0"/>
      </a:solidFill>
      <a:roun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4"/>
  <c:chart>
    <c:title>
      <c:tx>
        <c:rich>
          <a:bodyPr/>
          <a:lstStyle/>
          <a:p>
            <a:pPr>
              <a:defRPr/>
            </a:pPr>
            <a:r>
              <a:rPr lang="en-US"/>
              <a:t>  Fresh and dry fruits (Y-o-Y) </a:t>
            </a:r>
          </a:p>
        </c:rich>
      </c:tx>
      <c:layout>
        <c:manualLayout>
          <c:xMode val="edge"/>
          <c:yMode val="edge"/>
          <c:x val="0.21066360803676798"/>
          <c:y val="5.3447459766487746E-3"/>
        </c:manualLayout>
      </c:layout>
    </c:title>
    <c:plotArea>
      <c:layout>
        <c:manualLayout>
          <c:layoutTarget val="inner"/>
          <c:xMode val="edge"/>
          <c:yMode val="edge"/>
          <c:x val="0.160558727627401"/>
          <c:y val="0.13144053234144701"/>
          <c:w val="0.79677635232306065"/>
          <c:h val="0.57317735315944263"/>
        </c:manualLayout>
      </c:layout>
      <c:barChart>
        <c:barDir val="col"/>
        <c:grouping val="clustered"/>
        <c:ser>
          <c:idx val="1"/>
          <c:order val="1"/>
          <c:tx>
            <c:strRef>
              <c:f>'Y - to -Y'!$H$1</c:f>
            </c:strRef>
          </c:tx>
          <c:spPr>
            <a:solidFill>
              <a:srgbClr val="2E75B6"/>
            </a:solidFill>
            <a:ln w="34925">
              <a:solidFill>
                <a:srgbClr val="2620A6">
                  <a:alpha val="80000"/>
                </a:srgbClr>
              </a:solidFill>
            </a:ln>
          </c:spPr>
          <c:cat>
            <c:multiLvlStrRef>
              <c:f>'Y - to -Y'!$A$41:$A$53</c:f>
            </c:multiLvlStrRef>
          </c:cat>
          <c:val>
            <c:numRef>
              <c:f>'Y - to -Y'!$H$41:$H$53</c:f>
            </c:numRef>
          </c:val>
          <c:extLst xmlns:c16r2="http://schemas.microsoft.com/office/drawing/2015/06/chart">
            <c:ext xmlns:c16="http://schemas.microsoft.com/office/drawing/2014/chart" uri="{C3380CC4-5D6E-409C-BE32-E72D297353CC}">
              <c16:uniqueId val="{00000000-BCB9-4AEC-A07C-AB8D54C3ABBA}"/>
            </c:ext>
          </c:extLst>
        </c:ser>
        <c:ser>
          <c:idx val="2"/>
          <c:order val="2"/>
          <c:tx>
            <c:strRef>
              <c:f>'[Copy of گرافها.xlsx]Y - to -Y'!$H$1</c:f>
            </c:strRef>
          </c:tx>
          <c:spPr>
            <a:solidFill>
              <a:schemeClr val="accent5">
                <a:lumMod val="75000"/>
              </a:schemeClr>
            </a:solidFill>
            <a:ln w="34925">
              <a:solidFill>
                <a:srgbClr val="2620A6">
                  <a:alpha val="80000"/>
                </a:srgbClr>
              </a:solidFill>
            </a:ln>
          </c:spPr>
          <c:cat>
            <c:multiLvlStrRef>
              <c:f>'[Copy of گرافها.xlsx]Y - to -Y'!$A$47:$A$59</c:f>
            </c:multiLvlStrRef>
          </c:cat>
          <c:val>
            <c:numRef>
              <c:f>'[Copy of گرافها.xlsx]Y - to -Y'!$H$41:$H$53</c:f>
            </c:numRef>
          </c:val>
          <c:extLst xmlns:c16r2="http://schemas.microsoft.com/office/drawing/2015/06/chart">
            <c:ext xmlns:c16="http://schemas.microsoft.com/office/drawing/2014/chart" uri="{C3380CC4-5D6E-409C-BE32-E72D297353CC}">
              <c16:uniqueId val="{00000001-BCB9-4AEC-A07C-AB8D54C3ABBA}"/>
            </c:ext>
          </c:extLst>
        </c:ser>
        <c:ser>
          <c:idx val="0"/>
          <c:order val="0"/>
          <c:tx>
            <c:strRef>
              <c:f>'[Copy of گرافها.xlsx]Y - to -Y'!$H$1</c:f>
              <c:strCache>
                <c:ptCount val="1"/>
                <c:pt idx="0">
                  <c:v>  Fresh and dried fruits</c:v>
                </c:pt>
              </c:strCache>
            </c:strRef>
          </c:tx>
          <c:spPr>
            <a:solidFill>
              <a:schemeClr val="accent5">
                <a:lumMod val="75000"/>
              </a:schemeClr>
            </a:solidFill>
            <a:ln w="34925">
              <a:solidFill>
                <a:srgbClr val="2620A6">
                  <a:alpha val="80000"/>
                </a:srgbClr>
              </a:solidFill>
            </a:ln>
          </c:spP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-Y'!$H$47:$H$59</c:f>
              <c:numCache>
                <c:formatCode>0.00</c:formatCode>
                <c:ptCount val="13"/>
                <c:pt idx="0">
                  <c:v>5.0257784692895076</c:v>
                </c:pt>
                <c:pt idx="1">
                  <c:v>5.3160633704455007</c:v>
                </c:pt>
                <c:pt idx="2">
                  <c:v>-0.30484789663071132</c:v>
                </c:pt>
                <c:pt idx="3">
                  <c:v>2.8786188113305577</c:v>
                </c:pt>
                <c:pt idx="4">
                  <c:v>3.8859081025512943</c:v>
                </c:pt>
                <c:pt idx="5">
                  <c:v>3.7448457070111019</c:v>
                </c:pt>
                <c:pt idx="6">
                  <c:v>3.58</c:v>
                </c:pt>
                <c:pt idx="7">
                  <c:v>3.06</c:v>
                </c:pt>
                <c:pt idx="8">
                  <c:v>4.5</c:v>
                </c:pt>
                <c:pt idx="9">
                  <c:v>14.32</c:v>
                </c:pt>
                <c:pt idx="10">
                  <c:v>10.35000000000001</c:v>
                </c:pt>
                <c:pt idx="11">
                  <c:v>10.88</c:v>
                </c:pt>
                <c:pt idx="12">
                  <c:v>20.05</c:v>
                </c:pt>
              </c:numCache>
            </c:numRef>
          </c:val>
          <c:extLst xmlns:c16r2="http://schemas.microsoft.com/office/drawing/2015/06/chart">
            <c:ext xmlns:c16="http://schemas.microsoft.com/office/drawing/2014/chart" uri="{C3380CC4-5D6E-409C-BE32-E72D297353CC}">
              <c16:uniqueId val="{00000002-BCB9-4AEC-A07C-AB8D54C3ABBA}"/>
            </c:ext>
          </c:extLst>
        </c:ser>
        <c:gapWidth val="321"/>
        <c:overlap val="1"/>
        <c:axId val="152244608"/>
        <c:axId val="152246144"/>
      </c:barChart>
      <c:dateAx>
        <c:axId val="152244608"/>
        <c:scaling>
          <c:orientation val="minMax"/>
        </c:scaling>
        <c:axPos val="b"/>
        <c:numFmt formatCode="[$-409]mmm\-yy;@" sourceLinked="1"/>
        <c:tickLblPos val="nextTo"/>
        <c:crossAx val="152246144"/>
        <c:crossesAt val="-5.5"/>
        <c:auto val="1"/>
        <c:lblOffset val="100"/>
        <c:baseTimeUnit val="months"/>
      </c:dateAx>
      <c:valAx>
        <c:axId val="152246144"/>
        <c:scaling>
          <c:orientation val="minMax"/>
          <c:max val="23"/>
          <c:min val="-1"/>
        </c:scaling>
        <c:axPos val="l"/>
        <c:majorGridlines/>
        <c:numFmt formatCode="0.0" sourceLinked="0"/>
        <c:tickLblPos val="nextTo"/>
        <c:crossAx val="152244608"/>
        <c:crosses val="autoZero"/>
        <c:crossBetween val="between"/>
        <c:majorUnit val="3"/>
        <c:minorUnit val="0.8"/>
      </c:valAx>
    </c:plotArea>
    <c:plotVisOnly val="1"/>
    <c:dispBlanksAs val="gap"/>
  </c:chart>
  <c:txPr>
    <a:bodyPr/>
    <a:lstStyle/>
    <a:p>
      <a:pPr>
        <a:defRPr sz="700" b="1"/>
      </a:pPr>
      <a:endParaRPr lang="en-US"/>
    </a:p>
  </c:txPr>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  </a:t>
            </a:r>
            <a:r>
              <a:rPr lang="en-US" sz="800"/>
              <a:t>Vegetables (Y-o-Y) </a:t>
            </a:r>
            <a:r>
              <a:rPr lang="en-US" sz="900"/>
              <a:t> </a:t>
            </a:r>
          </a:p>
        </c:rich>
      </c:tx>
      <c:layout>
        <c:manualLayout>
          <c:xMode val="edge"/>
          <c:yMode val="edge"/>
          <c:x val="0.24175558960054788"/>
          <c:y val="2.4285463959809236E-2"/>
        </c:manualLayout>
      </c:layout>
    </c:title>
    <c:plotArea>
      <c:layout>
        <c:manualLayout>
          <c:layoutTarget val="inner"/>
          <c:xMode val="edge"/>
          <c:yMode val="edge"/>
          <c:x val="0.16135195929354743"/>
          <c:y val="0.16045579883540886"/>
          <c:w val="0.79532589388773678"/>
          <c:h val="0.54896313659844165"/>
        </c:manualLayout>
      </c:layout>
      <c:barChart>
        <c:barDir val="col"/>
        <c:grouping val="clustered"/>
        <c:ser>
          <c:idx val="1"/>
          <c:order val="1"/>
          <c:tx>
            <c:strRef>
              <c:f>'Y - to -Y'!$I$1</c:f>
            </c:strRef>
          </c:tx>
          <c:spPr>
            <a:ln w="28575">
              <a:solidFill>
                <a:schemeClr val="accent4">
                  <a:lumMod val="60000"/>
                  <a:lumOff val="40000"/>
                </a:schemeClr>
              </a:solidFill>
            </a:ln>
          </c:spPr>
          <c:cat>
            <c:multiLvlStrRef>
              <c:f>'Y - to -Y'!$A$41:$A$53</c:f>
            </c:multiLvlStrRef>
          </c:cat>
          <c:val>
            <c:numRef>
              <c:f>'Y - to -Y'!$I$41:$I$53</c:f>
            </c:numRef>
          </c:val>
          <c:extLst xmlns:c16r2="http://schemas.microsoft.com/office/drawing/2015/06/chart">
            <c:ext xmlns:c16="http://schemas.microsoft.com/office/drawing/2014/chart" uri="{C3380CC4-5D6E-409C-BE32-E72D297353CC}">
              <c16:uniqueId val="{00000000-628E-49D7-AEE0-21459EC94BB4}"/>
            </c:ext>
          </c:extLst>
        </c:ser>
        <c:ser>
          <c:idx val="2"/>
          <c:order val="2"/>
          <c:tx>
            <c:strRef>
              <c:f>'[Copy of گرافها.xlsx]Y - to -Y'!$I$1</c:f>
            </c:strRef>
          </c:tx>
          <c:spPr>
            <a:solidFill>
              <a:srgbClr val="00B050"/>
            </a:solidFill>
            <a:ln w="28575">
              <a:solidFill>
                <a:schemeClr val="accent4">
                  <a:lumMod val="60000"/>
                  <a:lumOff val="40000"/>
                </a:schemeClr>
              </a:solidFill>
            </a:ln>
          </c:spPr>
          <c:cat>
            <c:multiLvlStrRef>
              <c:f>'[Copy of گرافها.xlsx]Y - to -Y'!$A$47:$A$59</c:f>
            </c:multiLvlStrRef>
          </c:cat>
          <c:val>
            <c:numRef>
              <c:f>'[Copy of گرافها.xlsx]Y - to -Y'!$I$47:$I$59</c:f>
            </c:numRef>
          </c:val>
          <c:extLst xmlns:c16r2="http://schemas.microsoft.com/office/drawing/2015/06/chart">
            <c:ext xmlns:c16="http://schemas.microsoft.com/office/drawing/2014/chart" uri="{C3380CC4-5D6E-409C-BE32-E72D297353CC}">
              <c16:uniqueId val="{00000001-628E-49D7-AEE0-21459EC94BB4}"/>
            </c:ext>
          </c:extLst>
        </c:ser>
        <c:ser>
          <c:idx val="0"/>
          <c:order val="0"/>
          <c:tx>
            <c:strRef>
              <c:f>'[Copy of گرافها.xlsx]Y - to -Y'!$I$1</c:f>
              <c:strCache>
                <c:ptCount val="1"/>
                <c:pt idx="0">
                  <c:v>  Vegetables </c:v>
                </c:pt>
              </c:strCache>
            </c:strRef>
          </c:tx>
          <c:spPr>
            <a:solidFill>
              <a:srgbClr val="00B050"/>
            </a:solidFill>
            <a:ln w="28575">
              <a:solidFill>
                <a:schemeClr val="accent4">
                  <a:lumMod val="60000"/>
                  <a:lumOff val="40000"/>
                </a:schemeClr>
              </a:solidFill>
            </a:ln>
          </c:spP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-Y'!$I$47:$I$59</c:f>
              <c:numCache>
                <c:formatCode>0.00</c:formatCode>
                <c:ptCount val="13"/>
                <c:pt idx="0">
                  <c:v>-4.918140030802598</c:v>
                </c:pt>
                <c:pt idx="1">
                  <c:v>0.17210261200528693</c:v>
                </c:pt>
                <c:pt idx="2">
                  <c:v>1.5974785273930041</c:v>
                </c:pt>
                <c:pt idx="3">
                  <c:v>-0.50137786133674855</c:v>
                </c:pt>
                <c:pt idx="4">
                  <c:v>3.3409597397300317</c:v>
                </c:pt>
                <c:pt idx="5">
                  <c:v>13.242311786930552</c:v>
                </c:pt>
                <c:pt idx="6">
                  <c:v>16.439999999999987</c:v>
                </c:pt>
                <c:pt idx="7">
                  <c:v>15.9</c:v>
                </c:pt>
                <c:pt idx="8">
                  <c:v>8.17</c:v>
                </c:pt>
                <c:pt idx="9">
                  <c:v>43.46</c:v>
                </c:pt>
                <c:pt idx="10">
                  <c:v>23.02</c:v>
                </c:pt>
                <c:pt idx="11">
                  <c:v>16.149999999999999</c:v>
                </c:pt>
                <c:pt idx="12">
                  <c:v>14.6</c:v>
                </c:pt>
              </c:numCache>
            </c:numRef>
          </c:val>
          <c:extLst xmlns:c16r2="http://schemas.microsoft.com/office/drawing/2015/06/chart">
            <c:ext xmlns:c16="http://schemas.microsoft.com/office/drawing/2014/chart" uri="{C3380CC4-5D6E-409C-BE32-E72D297353CC}">
              <c16:uniqueId val="{00000002-628E-49D7-AEE0-21459EC94BB4}"/>
            </c:ext>
          </c:extLst>
        </c:ser>
        <c:axId val="152444928"/>
        <c:axId val="152446464"/>
      </c:barChart>
      <c:dateAx>
        <c:axId val="152444928"/>
        <c:scaling>
          <c:orientation val="minMax"/>
        </c:scaling>
        <c:axPos val="b"/>
        <c:numFmt formatCode="[$-409]mmm\-yy;@" sourceLinked="1"/>
        <c:tickLblPos val="nextTo"/>
        <c:txPr>
          <a:bodyPr/>
          <a:lstStyle/>
          <a:p>
            <a:pPr>
              <a:defRPr sz="600"/>
            </a:pPr>
            <a:endParaRPr lang="en-US"/>
          </a:p>
        </c:txPr>
        <c:crossAx val="152446464"/>
        <c:crossesAt val="-4"/>
        <c:auto val="1"/>
        <c:lblOffset val="100"/>
        <c:baseTimeUnit val="months"/>
      </c:dateAx>
      <c:valAx>
        <c:axId val="152446464"/>
        <c:scaling>
          <c:orientation val="minMax"/>
          <c:max val="50"/>
          <c:min val="-6"/>
        </c:scaling>
        <c:axPos val="l"/>
        <c:majorGridlines/>
        <c:numFmt formatCode="0.0" sourceLinked="0"/>
        <c:tickLblPos val="nextTo"/>
        <c:txPr>
          <a:bodyPr/>
          <a:lstStyle/>
          <a:p>
            <a:pPr>
              <a:defRPr sz="700"/>
            </a:pPr>
            <a:endParaRPr lang="en-US"/>
          </a:p>
        </c:txPr>
        <c:crossAx val="152444928"/>
        <c:crosses val="autoZero"/>
        <c:crossBetween val="between"/>
        <c:majorUnit val="7"/>
        <c:minorUnit val="3.5"/>
      </c:valAx>
    </c:plotArea>
    <c:plotVisOnly val="1"/>
    <c:dispBlanksAs val="gap"/>
  </c:chart>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a:pPr>
            <a:r>
              <a:rPr lang="en-US" sz="800"/>
              <a:t>  Sugar and sweets (Y-o-Y)</a:t>
            </a:r>
          </a:p>
        </c:rich>
      </c:tx>
      <c:layout>
        <c:manualLayout>
          <c:xMode val="edge"/>
          <c:yMode val="edge"/>
          <c:x val="0.2040876051344889"/>
          <c:y val="3.3049420833735361E-2"/>
        </c:manualLayout>
      </c:layout>
      <c:spPr>
        <a:ln>
          <a:solidFill>
            <a:schemeClr val="bg1"/>
          </a:solidFill>
        </a:ln>
      </c:spPr>
    </c:title>
    <c:plotArea>
      <c:layout>
        <c:manualLayout>
          <c:layoutTarget val="inner"/>
          <c:xMode val="edge"/>
          <c:yMode val="edge"/>
          <c:x val="0.15907160446829041"/>
          <c:y val="0.17546122556761723"/>
          <c:w val="0.76777644273664925"/>
          <c:h val="0.55470848715983734"/>
        </c:manualLayout>
      </c:layout>
      <c:barChart>
        <c:barDir val="col"/>
        <c:grouping val="clustered"/>
        <c:ser>
          <c:idx val="0"/>
          <c:order val="1"/>
          <c:tx>
            <c:strRef>
              <c:f>'Y - to -Y'!$J$1</c:f>
            </c:strRef>
          </c:tx>
          <c:spPr>
            <a:solidFill>
              <a:srgbClr val="FFFF00"/>
            </a:solidFill>
            <a:ln w="25400">
              <a:solidFill>
                <a:schemeClr val="tx1">
                  <a:lumMod val="65000"/>
                  <a:lumOff val="35000"/>
                </a:schemeClr>
              </a:solidFill>
            </a:ln>
          </c:spPr>
          <c:cat>
            <c:multiLvlStrRef>
              <c:f>'Y - to -Y'!$A$41:$A$53</c:f>
            </c:multiLvlStrRef>
          </c:cat>
          <c:val>
            <c:numRef>
              <c:f>'Y - to -Y'!$J$41:$J$53</c:f>
            </c:numRef>
          </c:val>
          <c:extLst xmlns:c16r2="http://schemas.microsoft.com/office/drawing/2015/06/chart">
            <c:ext xmlns:c16="http://schemas.microsoft.com/office/drawing/2014/chart" uri="{C3380CC4-5D6E-409C-BE32-E72D297353CC}">
              <c16:uniqueId val="{00000000-8887-46CF-956D-F330C25F600C}"/>
            </c:ext>
          </c:extLst>
        </c:ser>
        <c:ser>
          <c:idx val="1"/>
          <c:order val="0"/>
          <c:tx>
            <c:strRef>
              <c:f>'[Copy of گرافها.xlsx]Y - to -Y'!$J$1</c:f>
              <c:strCache>
                <c:ptCount val="1"/>
                <c:pt idx="0">
                  <c:v>  Sugar and sweets</c:v>
                </c:pt>
              </c:strCache>
            </c:strRef>
          </c:tx>
          <c:spPr>
            <a:ln w="25400">
              <a:solidFill>
                <a:schemeClr val="tx1">
                  <a:lumMod val="65000"/>
                  <a:lumOff val="35000"/>
                </a:schemeClr>
              </a:solidFill>
            </a:ln>
          </c:spP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-Y'!$J$47:$J$59</c:f>
              <c:numCache>
                <c:formatCode>0.00</c:formatCode>
                <c:ptCount val="13"/>
                <c:pt idx="0">
                  <c:v>8.3233822934040216</c:v>
                </c:pt>
                <c:pt idx="1">
                  <c:v>13.050779820036254</c:v>
                </c:pt>
                <c:pt idx="2">
                  <c:v>10.281076523039133</c:v>
                </c:pt>
                <c:pt idx="3">
                  <c:v>6.2779486243542788</c:v>
                </c:pt>
                <c:pt idx="4">
                  <c:v>3.9610070333391194</c:v>
                </c:pt>
                <c:pt idx="5">
                  <c:v>4.664698207937982</c:v>
                </c:pt>
                <c:pt idx="6">
                  <c:v>5.05</c:v>
                </c:pt>
                <c:pt idx="7">
                  <c:v>6.3</c:v>
                </c:pt>
                <c:pt idx="8">
                  <c:v>1.08</c:v>
                </c:pt>
                <c:pt idx="9">
                  <c:v>7.4</c:v>
                </c:pt>
                <c:pt idx="10">
                  <c:v>3.66</c:v>
                </c:pt>
                <c:pt idx="11">
                  <c:v>3.59</c:v>
                </c:pt>
                <c:pt idx="12">
                  <c:v>2.84</c:v>
                </c:pt>
              </c:numCache>
            </c:numRef>
          </c:val>
          <c:extLst xmlns:c16r2="http://schemas.microsoft.com/office/drawing/2015/06/chart">
            <c:ext xmlns:c16="http://schemas.microsoft.com/office/drawing/2014/chart" uri="{C3380CC4-5D6E-409C-BE32-E72D297353CC}">
              <c16:uniqueId val="{00000001-8887-46CF-956D-F330C25F600C}"/>
            </c:ext>
          </c:extLst>
        </c:ser>
        <c:axId val="152484096"/>
        <c:axId val="152494080"/>
      </c:barChart>
      <c:dateAx>
        <c:axId val="152484096"/>
        <c:scaling>
          <c:orientation val="minMax"/>
        </c:scaling>
        <c:axPos val="b"/>
        <c:numFmt formatCode="[$-409]mmm\-yy;@" sourceLinked="1"/>
        <c:tickLblPos val="nextTo"/>
        <c:txPr>
          <a:bodyPr rot="-2040000"/>
          <a:lstStyle/>
          <a:p>
            <a:pPr>
              <a:defRPr sz="700"/>
            </a:pPr>
            <a:endParaRPr lang="en-US"/>
          </a:p>
        </c:txPr>
        <c:crossAx val="152494080"/>
        <c:crossesAt val="0"/>
        <c:auto val="1"/>
        <c:lblOffset val="100"/>
        <c:baseTimeUnit val="months"/>
        <c:majorUnit val="2"/>
      </c:dateAx>
      <c:valAx>
        <c:axId val="152494080"/>
        <c:scaling>
          <c:orientation val="minMax"/>
          <c:max val="18"/>
          <c:min val="0"/>
        </c:scaling>
        <c:axPos val="l"/>
        <c:majorGridlines/>
        <c:numFmt formatCode="0.0" sourceLinked="0"/>
        <c:tickLblPos val="nextTo"/>
        <c:txPr>
          <a:bodyPr/>
          <a:lstStyle/>
          <a:p>
            <a:pPr>
              <a:defRPr sz="700"/>
            </a:pPr>
            <a:endParaRPr lang="en-US"/>
          </a:p>
        </c:txPr>
        <c:crossAx val="152484096"/>
        <c:crosses val="autoZero"/>
        <c:crossBetween val="between"/>
        <c:majorUnit val="3"/>
        <c:minorUnit val="2"/>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a:pPr>
            <a:r>
              <a:rPr lang="en-US" sz="800" b="1" i="0" u="none" strike="noStrike" baseline="0"/>
              <a:t>Spices  and   Non-alcoholic beverages    (Y-o-Y)</a:t>
            </a:r>
            <a:endParaRPr lang="en-US" sz="800" b="1"/>
          </a:p>
        </c:rich>
      </c:tx>
      <c:layout>
        <c:manualLayout>
          <c:xMode val="edge"/>
          <c:yMode val="edge"/>
          <c:x val="0.16338656630074117"/>
          <c:y val="5.9599197744062424E-3"/>
        </c:manualLayout>
      </c:layout>
    </c:title>
    <c:plotArea>
      <c:layout>
        <c:manualLayout>
          <c:layoutTarget val="inner"/>
          <c:xMode val="edge"/>
          <c:yMode val="edge"/>
          <c:x val="0.15593564104278396"/>
          <c:y val="0.2025857650146673"/>
          <c:w val="0.8045035597482092"/>
          <c:h val="0.37748516050878539"/>
        </c:manualLayout>
      </c:layout>
      <c:barChart>
        <c:barDir val="col"/>
        <c:grouping val="clustered"/>
        <c:ser>
          <c:idx val="0"/>
          <c:order val="0"/>
          <c:tx>
            <c:strRef>
              <c:f>'Y - to -Y'!$K$1</c:f>
              <c:strCache>
                <c:ptCount val="1"/>
                <c:pt idx="0">
                  <c:v>  Spices</c:v>
                </c:pt>
              </c:strCache>
            </c:strRef>
          </c:tx>
          <c:spPr>
            <a:ln w="28575">
              <a:solidFill>
                <a:schemeClr val="tx1"/>
              </a:solidFill>
            </a:ln>
          </c:spPr>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-Y'!$K$47:$K$59</c:f>
              <c:numCache>
                <c:formatCode>0.00</c:formatCode>
                <c:ptCount val="13"/>
                <c:pt idx="0">
                  <c:v>19.268847450083786</c:v>
                </c:pt>
                <c:pt idx="1">
                  <c:v>23.033511096294774</c:v>
                </c:pt>
                <c:pt idx="2">
                  <c:v>23.594272421035267</c:v>
                </c:pt>
                <c:pt idx="3">
                  <c:v>24.011621183355448</c:v>
                </c:pt>
                <c:pt idx="4">
                  <c:v>23.288808103141424</c:v>
                </c:pt>
                <c:pt idx="5">
                  <c:v>21.341616237385026</c:v>
                </c:pt>
                <c:pt idx="6">
                  <c:v>20.779999999999994</c:v>
                </c:pt>
                <c:pt idx="7">
                  <c:v>17.68</c:v>
                </c:pt>
                <c:pt idx="8">
                  <c:v>18.779999999999994</c:v>
                </c:pt>
                <c:pt idx="9">
                  <c:v>30.82</c:v>
                </c:pt>
                <c:pt idx="10">
                  <c:v>9.59</c:v>
                </c:pt>
                <c:pt idx="11">
                  <c:v>11.57</c:v>
                </c:pt>
                <c:pt idx="12">
                  <c:v>1.7</c:v>
                </c:pt>
              </c:numCache>
            </c:numRef>
          </c:val>
          <c:extLst xmlns:c16r2="http://schemas.microsoft.com/office/drawing/2015/06/chart">
            <c:ext xmlns:c16="http://schemas.microsoft.com/office/drawing/2014/chart" uri="{C3380CC4-5D6E-409C-BE32-E72D297353CC}">
              <c16:uniqueId val="{00000000-9646-4CB8-9785-C94308F982A2}"/>
            </c:ext>
          </c:extLst>
        </c:ser>
        <c:axId val="151807104"/>
        <c:axId val="151808640"/>
      </c:barChart>
      <c:lineChart>
        <c:grouping val="stacked"/>
        <c:ser>
          <c:idx val="1"/>
          <c:order val="1"/>
          <c:tx>
            <c:strRef>
              <c:f>'Y - to -Y'!$L$1</c:f>
              <c:strCache>
                <c:ptCount val="1"/>
                <c:pt idx="0">
                  <c:v>  Non-alcoholic beverages</c:v>
                </c:pt>
              </c:strCache>
            </c:strRef>
          </c:tx>
          <c:marker>
            <c:symbol val="none"/>
          </c:marker>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-Y'!$L$47:$L$59</c:f>
              <c:numCache>
                <c:formatCode>0.00</c:formatCode>
                <c:ptCount val="13"/>
                <c:pt idx="0">
                  <c:v>4.4247684857775331</c:v>
                </c:pt>
                <c:pt idx="1">
                  <c:v>4.2187133362630469</c:v>
                </c:pt>
                <c:pt idx="2">
                  <c:v>4.2799411446443871</c:v>
                </c:pt>
                <c:pt idx="3">
                  <c:v>4.5408829825017278</c:v>
                </c:pt>
                <c:pt idx="4">
                  <c:v>3.6997137308760317</c:v>
                </c:pt>
                <c:pt idx="5">
                  <c:v>4.0960886049555612</c:v>
                </c:pt>
                <c:pt idx="6">
                  <c:v>4.01</c:v>
                </c:pt>
                <c:pt idx="7">
                  <c:v>4.18</c:v>
                </c:pt>
                <c:pt idx="8">
                  <c:v>3.4499999999999997</c:v>
                </c:pt>
                <c:pt idx="9">
                  <c:v>3.72</c:v>
                </c:pt>
                <c:pt idx="10">
                  <c:v>4.13</c:v>
                </c:pt>
                <c:pt idx="11">
                  <c:v>4.08</c:v>
                </c:pt>
                <c:pt idx="12">
                  <c:v>5.1499999999999995</c:v>
                </c:pt>
              </c:numCache>
            </c:numRef>
          </c:val>
          <c:extLst xmlns:c16r2="http://schemas.microsoft.com/office/drawing/2015/06/chart">
            <c:ext xmlns:c16="http://schemas.microsoft.com/office/drawing/2014/chart" uri="{C3380CC4-5D6E-409C-BE32-E72D297353CC}">
              <c16:uniqueId val="{00000001-9646-4CB8-9785-C94308F982A2}"/>
            </c:ext>
          </c:extLst>
        </c:ser>
        <c:marker val="1"/>
        <c:axId val="151807104"/>
        <c:axId val="151808640"/>
      </c:lineChart>
      <c:dateAx>
        <c:axId val="151807104"/>
        <c:scaling>
          <c:orientation val="minMax"/>
        </c:scaling>
        <c:axPos val="b"/>
        <c:numFmt formatCode="[$-409]mmm\-yy;@" sourceLinked="1"/>
        <c:tickLblPos val="nextTo"/>
        <c:txPr>
          <a:bodyPr rot="-2700000"/>
          <a:lstStyle/>
          <a:p>
            <a:pPr>
              <a:defRPr sz="700"/>
            </a:pPr>
            <a:endParaRPr lang="en-US"/>
          </a:p>
        </c:txPr>
        <c:crossAx val="151808640"/>
        <c:crossesAt val="-15"/>
        <c:auto val="1"/>
        <c:lblOffset val="100"/>
        <c:baseTimeUnit val="months"/>
      </c:dateAx>
      <c:valAx>
        <c:axId val="151808640"/>
        <c:scaling>
          <c:orientation val="minMax"/>
          <c:max val="40"/>
          <c:min val="-2"/>
        </c:scaling>
        <c:axPos val="l"/>
        <c:majorGridlines/>
        <c:numFmt formatCode="0.0" sourceLinked="0"/>
        <c:tickLblPos val="nextTo"/>
        <c:txPr>
          <a:bodyPr/>
          <a:lstStyle/>
          <a:p>
            <a:pPr>
              <a:defRPr sz="700"/>
            </a:pPr>
            <a:endParaRPr lang="en-US"/>
          </a:p>
        </c:txPr>
        <c:crossAx val="151807104"/>
        <c:crosses val="autoZero"/>
        <c:crossBetween val="between"/>
        <c:majorUnit val="6"/>
      </c:valAx>
    </c:plotArea>
    <c:legend>
      <c:legendPos val="b"/>
      <c:layout>
        <c:manualLayout>
          <c:xMode val="edge"/>
          <c:yMode val="edge"/>
          <c:x val="0"/>
          <c:y val="0.87058792650919381"/>
          <c:w val="0.89999985714741582"/>
          <c:h val="0.1095651997513178"/>
        </c:manualLayout>
      </c:layout>
      <c:txPr>
        <a:bodyPr/>
        <a:lstStyle/>
        <a:p>
          <a:pPr>
            <a:defRPr sz="700"/>
          </a:pPr>
          <a:endParaRPr lang="en-US"/>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Non-Food (Y-o-Y)</a:t>
            </a:r>
          </a:p>
        </c:rich>
      </c:tx>
      <c:layout>
        <c:manualLayout>
          <c:xMode val="edge"/>
          <c:yMode val="edge"/>
          <c:x val="0.3288004253705582"/>
          <c:y val="3.6033895763029684E-2"/>
        </c:manualLayout>
      </c:layout>
    </c:title>
    <c:plotArea>
      <c:layout>
        <c:manualLayout>
          <c:layoutTarget val="inner"/>
          <c:xMode val="edge"/>
          <c:yMode val="edge"/>
          <c:x val="0.14877047156300024"/>
          <c:y val="0.1361713325641182"/>
          <c:w val="0.81019855184229816"/>
          <c:h val="0.51170063742032323"/>
        </c:manualLayout>
      </c:layout>
      <c:barChart>
        <c:barDir val="col"/>
        <c:grouping val="clustered"/>
        <c:ser>
          <c:idx val="2"/>
          <c:order val="1"/>
          <c:tx>
            <c:strRef>
              <c:f>'Y - to -Y'!$B$1</c:f>
              <c:strCache>
                <c:ptCount val="1"/>
                <c:pt idx="0">
                  <c:v>Overall Index</c:v>
                </c:pt>
              </c:strCache>
            </c:strRef>
          </c:tx>
          <c:spPr>
            <a:solidFill>
              <a:srgbClr val="F79B4F"/>
            </a:solidFill>
          </c:spPr>
          <c:cat>
            <c:numRef>
              <c:f>'Y - to -Y'!$A$41:$A$53</c:f>
              <c:numCache>
                <c:formatCode>[$-409]mmm\-yy;@</c:formatCode>
                <c:ptCount val="13"/>
                <c:pt idx="0">
                  <c:v>43476</c:v>
                </c:pt>
                <c:pt idx="1">
                  <c:v>43507</c:v>
                </c:pt>
                <c:pt idx="2">
                  <c:v>43535</c:v>
                </c:pt>
                <c:pt idx="3">
                  <c:v>43566</c:v>
                </c:pt>
                <c:pt idx="4">
                  <c:v>43596</c:v>
                </c:pt>
                <c:pt idx="5">
                  <c:v>43627</c:v>
                </c:pt>
                <c:pt idx="6">
                  <c:v>43657</c:v>
                </c:pt>
                <c:pt idx="7">
                  <c:v>43688</c:v>
                </c:pt>
                <c:pt idx="8">
                  <c:v>43719</c:v>
                </c:pt>
                <c:pt idx="9">
                  <c:v>43749</c:v>
                </c:pt>
                <c:pt idx="10">
                  <c:v>43780</c:v>
                </c:pt>
                <c:pt idx="11">
                  <c:v>43810</c:v>
                </c:pt>
                <c:pt idx="12">
                  <c:v>43850</c:v>
                </c:pt>
              </c:numCache>
            </c:numRef>
          </c:cat>
          <c:val>
            <c:numRef>
              <c:f>'Y - to -Y'!$B$41:$B$53</c:f>
              <c:numCache>
                <c:formatCode>0.00</c:formatCode>
                <c:ptCount val="13"/>
                <c:pt idx="0">
                  <c:v>0.40834440092565427</c:v>
                </c:pt>
                <c:pt idx="1">
                  <c:v>0.34000588989679947</c:v>
                </c:pt>
                <c:pt idx="2">
                  <c:v>1.7744217407472878</c:v>
                </c:pt>
                <c:pt idx="3">
                  <c:v>3.6341925236855088</c:v>
                </c:pt>
                <c:pt idx="4">
                  <c:v>4.8767701942347976</c:v>
                </c:pt>
                <c:pt idx="5">
                  <c:v>4.0317302639912178</c:v>
                </c:pt>
                <c:pt idx="6">
                  <c:v>2.7672467239067799</c:v>
                </c:pt>
                <c:pt idx="7">
                  <c:v>2.9238702923755082</c:v>
                </c:pt>
                <c:pt idx="8">
                  <c:v>1.8484772791760997</c:v>
                </c:pt>
                <c:pt idx="9">
                  <c:v>1.1203754575225933</c:v>
                </c:pt>
                <c:pt idx="10">
                  <c:v>1.222375883693894</c:v>
                </c:pt>
                <c:pt idx="11">
                  <c:v>2.7725783977994971</c:v>
                </c:pt>
                <c:pt idx="12">
                  <c:v>3.75</c:v>
                </c:pt>
              </c:numCache>
            </c:numRef>
          </c:val>
          <c:extLst xmlns:c16r2="http://schemas.microsoft.com/office/drawing/2015/06/chart">
            <c:ext xmlns:c16="http://schemas.microsoft.com/office/drawing/2014/chart" uri="{C3380CC4-5D6E-409C-BE32-E72D297353CC}">
              <c16:uniqueId val="{00000000-A2F2-4A42-8355-B9E34CB9F623}"/>
            </c:ext>
          </c:extLst>
        </c:ser>
        <c:axId val="152879488"/>
        <c:axId val="152881024"/>
      </c:barChart>
      <c:lineChart>
        <c:grouping val="standard"/>
        <c:ser>
          <c:idx val="0"/>
          <c:order val="0"/>
          <c:tx>
            <c:strRef>
              <c:f>'Y - to -Y'!$M$1</c:f>
              <c:strCache>
                <c:ptCount val="1"/>
                <c:pt idx="0">
                  <c:v>Non-Food Items, Tobacco &amp; Services</c:v>
                </c:pt>
              </c:strCache>
            </c:strRef>
          </c:tx>
          <c:marker>
            <c:symbol val="none"/>
          </c:marker>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-Y'!$M$47:$M$59</c:f>
              <c:numCache>
                <c:formatCode>0.00</c:formatCode>
                <c:ptCount val="13"/>
                <c:pt idx="0">
                  <c:v>0.99949950249373964</c:v>
                </c:pt>
                <c:pt idx="1">
                  <c:v>0.77711211672812963</c:v>
                </c:pt>
                <c:pt idx="2">
                  <c:v>-0.23588145937928351</c:v>
                </c:pt>
                <c:pt idx="3">
                  <c:v>-0.46839103163347495</c:v>
                </c:pt>
                <c:pt idx="4">
                  <c:v>-0.68530310956725726</c:v>
                </c:pt>
                <c:pt idx="5">
                  <c:v>0.77109098415244492</c:v>
                </c:pt>
                <c:pt idx="6">
                  <c:v>1.6500000000000001</c:v>
                </c:pt>
                <c:pt idx="7">
                  <c:v>1.3900000000000001</c:v>
                </c:pt>
                <c:pt idx="8">
                  <c:v>1.04</c:v>
                </c:pt>
                <c:pt idx="9">
                  <c:v>1.03</c:v>
                </c:pt>
                <c:pt idx="10">
                  <c:v>-0.24000000000000021</c:v>
                </c:pt>
                <c:pt idx="11">
                  <c:v>0.13</c:v>
                </c:pt>
                <c:pt idx="12">
                  <c:v>0.31000000000000061</c:v>
                </c:pt>
              </c:numCache>
            </c:numRef>
          </c:val>
          <c:extLst xmlns:c16r2="http://schemas.microsoft.com/office/drawing/2015/06/chart">
            <c:ext xmlns:c16="http://schemas.microsoft.com/office/drawing/2014/chart" uri="{C3380CC4-5D6E-409C-BE32-E72D297353CC}">
              <c16:uniqueId val="{00000001-A2F2-4A42-8355-B9E34CB9F623}"/>
            </c:ext>
          </c:extLst>
        </c:ser>
        <c:marker val="1"/>
        <c:axId val="152879488"/>
        <c:axId val="152881024"/>
      </c:lineChart>
      <c:dateAx>
        <c:axId val="152879488"/>
        <c:scaling>
          <c:orientation val="minMax"/>
        </c:scaling>
        <c:axPos val="b"/>
        <c:numFmt formatCode="[$-409]mmm\-yy;@" sourceLinked="1"/>
        <c:tickLblPos val="nextTo"/>
        <c:spPr>
          <a:ln>
            <a:solidFill>
              <a:srgbClr val="4F81BD"/>
            </a:solidFill>
          </a:ln>
        </c:spPr>
        <c:txPr>
          <a:bodyPr rot="-2880000"/>
          <a:lstStyle/>
          <a:p>
            <a:pPr>
              <a:defRPr sz="700"/>
            </a:pPr>
            <a:endParaRPr lang="en-US"/>
          </a:p>
        </c:txPr>
        <c:crossAx val="152881024"/>
        <c:crossesAt val="-1.5"/>
        <c:auto val="1"/>
        <c:lblOffset val="100"/>
        <c:baseTimeUnit val="months"/>
        <c:majorUnit val="2"/>
      </c:dateAx>
      <c:valAx>
        <c:axId val="152881024"/>
        <c:scaling>
          <c:orientation val="minMax"/>
          <c:min val="-2.5"/>
        </c:scaling>
        <c:axPos val="l"/>
        <c:majorGridlines/>
        <c:numFmt formatCode="0.0" sourceLinked="0"/>
        <c:tickLblPos val="nextTo"/>
        <c:spPr>
          <a:ln>
            <a:solidFill>
              <a:schemeClr val="accent1"/>
            </a:solidFill>
          </a:ln>
        </c:spPr>
        <c:txPr>
          <a:bodyPr/>
          <a:lstStyle/>
          <a:p>
            <a:pPr>
              <a:defRPr sz="800"/>
            </a:pPr>
            <a:endParaRPr lang="en-US"/>
          </a:p>
        </c:txPr>
        <c:crossAx val="152879488"/>
        <c:crosses val="autoZero"/>
        <c:crossBetween val="between"/>
        <c:majorUnit val="2.5"/>
      </c:valAx>
    </c:plotArea>
    <c:legend>
      <c:legendPos val="b"/>
      <c:layout>
        <c:manualLayout>
          <c:xMode val="edge"/>
          <c:yMode val="edge"/>
          <c:x val="8.5703145802426897E-2"/>
          <c:y val="0.82711065322442279"/>
          <c:w val="0.90930328624176149"/>
          <c:h val="0.17288932633420823"/>
        </c:manualLayout>
      </c:layout>
      <c:txPr>
        <a:bodyPr/>
        <a:lstStyle/>
        <a:p>
          <a:pPr>
            <a:defRPr sz="800"/>
          </a:pPr>
          <a:endParaRPr lang="en-US"/>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800"/>
            </a:pPr>
            <a:r>
              <a:rPr lang="en-US" sz="800"/>
              <a:t> Non-food (M-to-M)</a:t>
            </a:r>
          </a:p>
        </c:rich>
      </c:tx>
      <c:overlay val="1"/>
    </c:title>
    <c:plotArea>
      <c:layout>
        <c:manualLayout>
          <c:layoutTarget val="inner"/>
          <c:xMode val="edge"/>
          <c:yMode val="edge"/>
          <c:x val="0.10019685039370078"/>
          <c:y val="0.22402556202213852"/>
          <c:w val="0.75959062671122968"/>
          <c:h val="0.51976674654798549"/>
        </c:manualLayout>
      </c:layout>
      <c:barChart>
        <c:barDir val="col"/>
        <c:grouping val="clustered"/>
        <c:ser>
          <c:idx val="0"/>
          <c:order val="0"/>
          <c:tx>
            <c:strRef>
              <c:f>'M- to -M'!$B$1</c:f>
              <c:strCache>
                <c:ptCount val="1"/>
                <c:pt idx="0">
                  <c:v>Overall Index</c:v>
                </c:pt>
              </c:strCache>
            </c:strRef>
          </c:tx>
          <c:cat>
            <c:numRef>
              <c:f>'M- to -M'!$A$36:$A$48</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'M- to -M'!$B$36:$B$48</c:f>
              <c:numCache>
                <c:formatCode>0.00</c:formatCode>
                <c:ptCount val="13"/>
                <c:pt idx="0">
                  <c:v>-1.083522311957374</c:v>
                </c:pt>
                <c:pt idx="1">
                  <c:v>9.1856940469448048E-2</c:v>
                </c:pt>
                <c:pt idx="2">
                  <c:v>-0.66487277189182203</c:v>
                </c:pt>
                <c:pt idx="3">
                  <c:v>0.23804202568329386</c:v>
                </c:pt>
                <c:pt idx="4">
                  <c:v>0.75646636459516503</c:v>
                </c:pt>
                <c:pt idx="5">
                  <c:v>1.6896821908605868</c:v>
                </c:pt>
                <c:pt idx="6">
                  <c:v>1.07</c:v>
                </c:pt>
                <c:pt idx="7">
                  <c:v>-0.54</c:v>
                </c:pt>
                <c:pt idx="8">
                  <c:v>0.20180000000000001</c:v>
                </c:pt>
                <c:pt idx="9">
                  <c:v>6.6199999999999983</c:v>
                </c:pt>
                <c:pt idx="10">
                  <c:v>-1.1499999999999995</c:v>
                </c:pt>
                <c:pt idx="11">
                  <c:v>-0.81</c:v>
                </c:pt>
                <c:pt idx="12">
                  <c:v>-1.1100000000000001</c:v>
                </c:pt>
              </c:numCache>
            </c:numRef>
          </c:val>
          <c:extLst xmlns:c16r2="http://schemas.microsoft.com/office/drawing/2015/06/chart">
            <c:ext xmlns:c16="http://schemas.microsoft.com/office/drawing/2014/chart" uri="{C3380CC4-5D6E-409C-BE32-E72D297353CC}">
              <c16:uniqueId val="{00000000-4FBB-4B10-BC0F-BF7091FDC98E}"/>
            </c:ext>
          </c:extLst>
        </c:ser>
        <c:axId val="152690048"/>
        <c:axId val="153171072"/>
      </c:barChart>
      <c:lineChart>
        <c:grouping val="stacked"/>
        <c:ser>
          <c:idx val="1"/>
          <c:order val="1"/>
          <c:tx>
            <c:strRef>
              <c:f>'M- to -M'!$M$1</c:f>
              <c:strCache>
                <c:ptCount val="1"/>
                <c:pt idx="0">
                  <c:v>Non-Food</c:v>
                </c:pt>
              </c:strCache>
            </c:strRef>
          </c:tx>
          <c:marker>
            <c:symbol val="none"/>
          </c:marker>
          <c:cat>
            <c:numRef>
              <c:f>'M- to -M'!$A$36:$A$48</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'M- to -M'!$M$36:$M$48</c:f>
              <c:numCache>
                <c:formatCode>0.00</c:formatCode>
                <c:ptCount val="13"/>
                <c:pt idx="0">
                  <c:v>-0.52860209071094988</c:v>
                </c:pt>
                <c:pt idx="1">
                  <c:v>-0.17591987281351251</c:v>
                </c:pt>
                <c:pt idx="2">
                  <c:v>-0.74282216925187772</c:v>
                </c:pt>
                <c:pt idx="3">
                  <c:v>0.29356247435021765</c:v>
                </c:pt>
                <c:pt idx="4">
                  <c:v>0.38853373001881408</c:v>
                </c:pt>
                <c:pt idx="5">
                  <c:v>0.94759755234510323</c:v>
                </c:pt>
                <c:pt idx="6">
                  <c:v>0.62031287031172333</c:v>
                </c:pt>
                <c:pt idx="7">
                  <c:v>-1.08</c:v>
                </c:pt>
                <c:pt idx="8">
                  <c:v>-0.22</c:v>
                </c:pt>
                <c:pt idx="9">
                  <c:v>0.79</c:v>
                </c:pt>
                <c:pt idx="10">
                  <c:v>-0.4900000000000001</c:v>
                </c:pt>
                <c:pt idx="11">
                  <c:v>0.35000000000000009</c:v>
                </c:pt>
                <c:pt idx="12">
                  <c:v>-0.35000000000000009</c:v>
                </c:pt>
              </c:numCache>
            </c:numRef>
          </c:val>
          <c:extLst xmlns:c16r2="http://schemas.microsoft.com/office/drawing/2015/06/chart">
            <c:ext xmlns:c16="http://schemas.microsoft.com/office/drawing/2014/chart" uri="{C3380CC4-5D6E-409C-BE32-E72D297353CC}">
              <c16:uniqueId val="{00000001-4FBB-4B10-BC0F-BF7091FDC98E}"/>
            </c:ext>
          </c:extLst>
        </c:ser>
        <c:marker val="1"/>
        <c:axId val="152690048"/>
        <c:axId val="153171072"/>
      </c:lineChart>
      <c:dateAx>
        <c:axId val="152690048"/>
        <c:scaling>
          <c:orientation val="minMax"/>
        </c:scaling>
        <c:axPos val="b"/>
        <c:numFmt formatCode="[$-409]mmm\-yy;@" sourceLinked="1"/>
        <c:tickLblPos val="nextTo"/>
        <c:txPr>
          <a:bodyPr/>
          <a:lstStyle/>
          <a:p>
            <a:pPr>
              <a:defRPr sz="700"/>
            </a:pPr>
            <a:endParaRPr lang="en-US"/>
          </a:p>
        </c:txPr>
        <c:crossAx val="153171072"/>
        <c:crossesAt val="-1.5"/>
        <c:auto val="1"/>
        <c:lblOffset val="100"/>
        <c:baseTimeUnit val="months"/>
      </c:dateAx>
      <c:valAx>
        <c:axId val="153171072"/>
        <c:scaling>
          <c:orientation val="minMax"/>
          <c:min val="-1.5"/>
        </c:scaling>
        <c:axPos val="l"/>
        <c:majorGridlines/>
        <c:numFmt formatCode="0.00" sourceLinked="1"/>
        <c:tickLblPos val="nextTo"/>
        <c:txPr>
          <a:bodyPr/>
          <a:lstStyle/>
          <a:p>
            <a:pPr>
              <a:defRPr sz="700"/>
            </a:pPr>
            <a:endParaRPr lang="en-US"/>
          </a:p>
        </c:txPr>
        <c:crossAx val="152690048"/>
        <c:crosses val="autoZero"/>
        <c:crossBetween val="between"/>
        <c:majorUnit val="2"/>
        <c:minorUnit val="0.2"/>
      </c:valAx>
    </c:plotArea>
    <c:legend>
      <c:legendPos val="b"/>
      <c:layout>
        <c:manualLayout>
          <c:xMode val="edge"/>
          <c:yMode val="edge"/>
          <c:x val="0.13448894427764874"/>
          <c:y val="0.16473673399520739"/>
          <c:w val="0.81735266904586557"/>
          <c:h val="6.4248773251169691E-2"/>
        </c:manualLayout>
      </c:layout>
      <c:txPr>
        <a:bodyPr/>
        <a:lstStyle/>
        <a:p>
          <a:pPr>
            <a:defRPr sz="800"/>
          </a:pPr>
          <a:endParaRPr lang="en-US"/>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  Clothing (Y-o-Y) </a:t>
            </a:r>
          </a:p>
        </c:rich>
      </c:tx>
      <c:layout>
        <c:manualLayout>
          <c:xMode val="edge"/>
          <c:yMode val="edge"/>
          <c:x val="0.37832677165354361"/>
          <c:y val="4.9695246427529892E-2"/>
        </c:manualLayout>
      </c:layout>
    </c:title>
    <c:plotArea>
      <c:layout>
        <c:manualLayout>
          <c:layoutTarget val="inner"/>
          <c:xMode val="edge"/>
          <c:yMode val="edge"/>
          <c:x val="0.16855642250206679"/>
          <c:y val="0.20435403907844862"/>
          <c:w val="0.77091426071741032"/>
          <c:h val="0.48655511811023622"/>
        </c:manualLayout>
      </c:layout>
      <c:barChart>
        <c:barDir val="col"/>
        <c:grouping val="clustered"/>
        <c:ser>
          <c:idx val="1"/>
          <c:order val="1"/>
          <c:tx>
            <c:strRef>
              <c:f>'Y - to -Y'!$O$1</c:f>
            </c:strRef>
          </c:tx>
          <c:cat>
            <c:multiLvlStrRef>
              <c:f>'Y - to -Y'!$A$41:$A$53</c:f>
            </c:multiLvlStrRef>
          </c:cat>
          <c:val>
            <c:numRef>
              <c:f>'Y - to -Y'!$O$41:$O$53</c:f>
            </c:numRef>
          </c:val>
          <c:extLst xmlns:c16r2="http://schemas.microsoft.com/office/drawing/2015/06/chart">
            <c:ext xmlns:c16="http://schemas.microsoft.com/office/drawing/2014/chart" uri="{C3380CC4-5D6E-409C-BE32-E72D297353CC}">
              <c16:uniqueId val="{00000000-201E-4D9B-AC17-AB3D9119E30A}"/>
            </c:ext>
          </c:extLst>
        </c:ser>
        <c:ser>
          <c:idx val="0"/>
          <c:order val="0"/>
          <c:tx>
            <c:strRef>
              <c:f>'[Copy of گرافها.xlsx]Y - to -Y'!$O$1</c:f>
              <c:strCache>
                <c:ptCount val="1"/>
                <c:pt idx="0">
                  <c:v>  Clothing </c:v>
                </c:pt>
              </c:strCache>
            </c:strRef>
          </c:tx>
          <c:spPr>
            <a:solidFill>
              <a:srgbClr val="FF0000"/>
            </a:solidFill>
            <a:ln w="25400">
              <a:solidFill>
                <a:srgbClr val="3B3BF1"/>
              </a:solidFill>
            </a:ln>
          </c:spP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-Y'!$O$47:$O$59</c:f>
              <c:numCache>
                <c:formatCode>0.00</c:formatCode>
                <c:ptCount val="13"/>
                <c:pt idx="0">
                  <c:v>5.4431203093256784</c:v>
                </c:pt>
                <c:pt idx="1">
                  <c:v>6.299781281625938</c:v>
                </c:pt>
                <c:pt idx="2">
                  <c:v>5.3556062787043706</c:v>
                </c:pt>
                <c:pt idx="3">
                  <c:v>6.0188510210428703</c:v>
                </c:pt>
                <c:pt idx="4">
                  <c:v>7.4796270541898737</c:v>
                </c:pt>
                <c:pt idx="5">
                  <c:v>7.5175645833659317</c:v>
                </c:pt>
                <c:pt idx="6">
                  <c:v>6.89</c:v>
                </c:pt>
                <c:pt idx="7">
                  <c:v>8.42</c:v>
                </c:pt>
                <c:pt idx="8">
                  <c:v>7.9700000000000024</c:v>
                </c:pt>
                <c:pt idx="9">
                  <c:v>7.4700000000000024</c:v>
                </c:pt>
                <c:pt idx="10">
                  <c:v>10.08</c:v>
                </c:pt>
                <c:pt idx="11">
                  <c:v>7.54</c:v>
                </c:pt>
                <c:pt idx="12">
                  <c:v>6.7700000000000014</c:v>
                </c:pt>
              </c:numCache>
            </c:numRef>
          </c:val>
          <c:extLst xmlns:c16r2="http://schemas.microsoft.com/office/drawing/2015/06/chart">
            <c:ext xmlns:c16="http://schemas.microsoft.com/office/drawing/2014/chart" uri="{C3380CC4-5D6E-409C-BE32-E72D297353CC}">
              <c16:uniqueId val="{00000001-201E-4D9B-AC17-AB3D9119E30A}"/>
            </c:ext>
          </c:extLst>
        </c:ser>
        <c:axId val="155519232"/>
        <c:axId val="155574272"/>
      </c:barChart>
      <c:dateAx>
        <c:axId val="155519232"/>
        <c:scaling>
          <c:orientation val="minMax"/>
        </c:scaling>
        <c:axPos val="b"/>
        <c:numFmt formatCode="[$-409]mmm\-yy;@" sourceLinked="1"/>
        <c:tickLblPos val="nextTo"/>
        <c:txPr>
          <a:bodyPr/>
          <a:lstStyle/>
          <a:p>
            <a:pPr>
              <a:defRPr sz="700"/>
            </a:pPr>
            <a:endParaRPr lang="en-US"/>
          </a:p>
        </c:txPr>
        <c:crossAx val="155574272"/>
        <c:crossesAt val="-5"/>
        <c:auto val="1"/>
        <c:lblOffset val="100"/>
        <c:baseTimeUnit val="months"/>
        <c:majorUnit val="2"/>
        <c:majorTimeUnit val="months"/>
      </c:dateAx>
      <c:valAx>
        <c:axId val="155574272"/>
        <c:scaling>
          <c:orientation val="minMax"/>
          <c:max val="11"/>
          <c:min val="1"/>
        </c:scaling>
        <c:axPos val="l"/>
        <c:majorGridlines/>
        <c:numFmt formatCode="0.0" sourceLinked="0"/>
        <c:tickLblPos val="nextTo"/>
        <c:txPr>
          <a:bodyPr/>
          <a:lstStyle/>
          <a:p>
            <a:pPr>
              <a:defRPr sz="800"/>
            </a:pPr>
            <a:endParaRPr lang="en-US"/>
          </a:p>
        </c:txPr>
        <c:crossAx val="155519232"/>
        <c:crosses val="autoZero"/>
        <c:crossBetween val="between"/>
        <c:majorUnit val="2"/>
      </c:valAx>
    </c:plotArea>
    <c:plotVisOnly val="1"/>
    <c:dispBlanksAs val="gap"/>
  </c:chart>
  <c:externalData r:id="rId1">
    <c:autoUpdate val="1"/>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sz="1000"/>
            </a:pPr>
            <a:r>
              <a:rPr lang="en-US" sz="1000"/>
              <a:t>  Housing (Y-o-Y)</a:t>
            </a:r>
          </a:p>
        </c:rich>
      </c:tx>
      <c:layout>
        <c:manualLayout>
          <c:xMode val="edge"/>
          <c:yMode val="edge"/>
          <c:x val="0.26488336902048804"/>
          <c:y val="4.6341432044142124E-3"/>
        </c:manualLayout>
      </c:layout>
    </c:title>
    <c:plotArea>
      <c:layout>
        <c:manualLayout>
          <c:layoutTarget val="inner"/>
          <c:xMode val="edge"/>
          <c:yMode val="edge"/>
          <c:x val="0.15065748031496082"/>
          <c:y val="0.14150921555261442"/>
          <c:w val="0.81200743657042951"/>
          <c:h val="0.55302833476958968"/>
        </c:manualLayout>
      </c:layout>
      <c:barChart>
        <c:barDir val="col"/>
        <c:grouping val="clustered"/>
        <c:ser>
          <c:idx val="1"/>
          <c:order val="1"/>
          <c:tx>
            <c:strRef>
              <c:f>'Y - to -Y'!$P$1</c:f>
            </c:strRef>
          </c:tx>
          <c:cat>
            <c:multiLvlStrRef>
              <c:f>'Y - to -Y'!$A$41:$A$53</c:f>
            </c:multiLvlStrRef>
          </c:cat>
          <c:val>
            <c:numRef>
              <c:f>'Y - to -Y'!$P$41:$P$53</c:f>
            </c:numRef>
          </c:val>
          <c:extLst xmlns:c16r2="http://schemas.microsoft.com/office/drawing/2015/06/chart">
            <c:ext xmlns:c16="http://schemas.microsoft.com/office/drawing/2014/chart" uri="{C3380CC4-5D6E-409C-BE32-E72D297353CC}">
              <c16:uniqueId val="{00000000-4669-43F3-B0AF-8E40F34BB2F2}"/>
            </c:ext>
          </c:extLst>
        </c:ser>
        <c:ser>
          <c:idx val="0"/>
          <c:order val="0"/>
          <c:tx>
            <c:strRef>
              <c:f>'[Copy of گرافها.xlsx]Y - to -Y'!$P$1</c:f>
              <c:strCache>
                <c:ptCount val="1"/>
                <c:pt idx="0">
                  <c:v>  Housing</c:v>
                </c:pt>
              </c:strCache>
            </c:strRef>
          </c:tx>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-Y'!$P$47:$P$59</c:f>
              <c:numCache>
                <c:formatCode>0.00</c:formatCode>
                <c:ptCount val="13"/>
                <c:pt idx="0">
                  <c:v>-2.833876584369726</c:v>
                </c:pt>
                <c:pt idx="1">
                  <c:v>-3.2453607048140602</c:v>
                </c:pt>
                <c:pt idx="2">
                  <c:v>-5.0007124035134183</c:v>
                </c:pt>
                <c:pt idx="3">
                  <c:v>-4.0732121973859003</c:v>
                </c:pt>
                <c:pt idx="4">
                  <c:v>-4.172188495178542</c:v>
                </c:pt>
                <c:pt idx="5">
                  <c:v>-1.4908483240497881</c:v>
                </c:pt>
                <c:pt idx="6">
                  <c:v>0.89</c:v>
                </c:pt>
                <c:pt idx="7">
                  <c:v>-1.23</c:v>
                </c:pt>
                <c:pt idx="8">
                  <c:v>-1.6300000000000001</c:v>
                </c:pt>
                <c:pt idx="9">
                  <c:v>-1.78</c:v>
                </c:pt>
                <c:pt idx="10">
                  <c:v>-4.38</c:v>
                </c:pt>
                <c:pt idx="11">
                  <c:v>-4.0199999999999996</c:v>
                </c:pt>
                <c:pt idx="12">
                  <c:v>-2.77</c:v>
                </c:pt>
              </c:numCache>
            </c:numRef>
          </c:val>
          <c:extLst xmlns:c16r2="http://schemas.microsoft.com/office/drawing/2015/06/chart">
            <c:ext xmlns:c16="http://schemas.microsoft.com/office/drawing/2014/chart" uri="{C3380CC4-5D6E-409C-BE32-E72D297353CC}">
              <c16:uniqueId val="{00000001-4669-43F3-B0AF-8E40F34BB2F2}"/>
            </c:ext>
          </c:extLst>
        </c:ser>
        <c:axId val="155808512"/>
        <c:axId val="155810048"/>
      </c:barChart>
      <c:dateAx>
        <c:axId val="155808512"/>
        <c:scaling>
          <c:orientation val="minMax"/>
        </c:scaling>
        <c:axPos val="b"/>
        <c:numFmt formatCode="[$-409]mmm\-yy;@" sourceLinked="1"/>
        <c:tickLblPos val="nextTo"/>
        <c:txPr>
          <a:bodyPr rot="-2700000"/>
          <a:lstStyle/>
          <a:p>
            <a:pPr>
              <a:defRPr sz="700"/>
            </a:pPr>
            <a:endParaRPr lang="en-US"/>
          </a:p>
        </c:txPr>
        <c:crossAx val="155810048"/>
        <c:crossesAt val="-5.5"/>
        <c:auto val="1"/>
        <c:lblOffset val="100"/>
        <c:baseTimeUnit val="months"/>
      </c:dateAx>
      <c:valAx>
        <c:axId val="155810048"/>
        <c:scaling>
          <c:orientation val="minMax"/>
          <c:max val="3.6"/>
          <c:min val="-5.5"/>
        </c:scaling>
        <c:axPos val="l"/>
        <c:majorGridlines/>
        <c:numFmt formatCode="0.0" sourceLinked="0"/>
        <c:tickLblPos val="nextTo"/>
        <c:txPr>
          <a:bodyPr/>
          <a:lstStyle/>
          <a:p>
            <a:pPr>
              <a:defRPr sz="800"/>
            </a:pPr>
            <a:endParaRPr lang="en-US"/>
          </a:p>
        </c:txPr>
        <c:crossAx val="155808512"/>
        <c:crosses val="autoZero"/>
        <c:crossBetween val="between"/>
        <c:majorUnit val="3"/>
        <c:minorUnit val="1"/>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Furnishing and household goods </a:t>
            </a:r>
          </a:p>
          <a:p>
            <a:pPr>
              <a:defRPr sz="800"/>
            </a:pPr>
            <a:r>
              <a:rPr lang="en-US" sz="800"/>
              <a:t>(Y-o-Y)</a:t>
            </a:r>
          </a:p>
        </c:rich>
      </c:tx>
      <c:layout>
        <c:manualLayout>
          <c:xMode val="edge"/>
          <c:yMode val="edge"/>
          <c:x val="0.13905559697138323"/>
          <c:y val="0"/>
        </c:manualLayout>
      </c:layout>
    </c:title>
    <c:plotArea>
      <c:layout>
        <c:manualLayout>
          <c:layoutTarget val="inner"/>
          <c:xMode val="edge"/>
          <c:yMode val="edge"/>
          <c:x val="0.16272209036665705"/>
          <c:y val="0.18418500430773921"/>
          <c:w val="0.79305322328265448"/>
          <c:h val="0.52903826406432652"/>
        </c:manualLayout>
      </c:layout>
      <c:barChart>
        <c:barDir val="col"/>
        <c:grouping val="clustered"/>
        <c:ser>
          <c:idx val="1"/>
          <c:order val="1"/>
          <c:tx>
            <c:strRef>
              <c:f>'Y - to -Y'!$Q$1</c:f>
            </c:strRef>
          </c:tx>
          <c:spPr>
            <a:solidFill>
              <a:srgbClr val="2E75B6"/>
            </a:solidFill>
            <a:ln w="25400">
              <a:solidFill>
                <a:srgbClr val="AA3616"/>
              </a:solidFill>
            </a:ln>
          </c:spPr>
          <c:cat>
            <c:multiLvlStrRef>
              <c:f>'Y - to -Y'!$A$41:$A$53</c:f>
            </c:multiLvlStrRef>
          </c:cat>
          <c:val>
            <c:numRef>
              <c:f>'Y - to -Y'!$Q$41:$Q$53</c:f>
            </c:numRef>
          </c:val>
          <c:extLst xmlns:c16r2="http://schemas.microsoft.com/office/drawing/2015/06/chart">
            <c:ext xmlns:c16="http://schemas.microsoft.com/office/drawing/2014/chart" uri="{C3380CC4-5D6E-409C-BE32-E72D297353CC}">
              <c16:uniqueId val="{00000000-BDD8-4907-86E2-E8FB53653304}"/>
            </c:ext>
          </c:extLst>
        </c:ser>
        <c:ser>
          <c:idx val="0"/>
          <c:order val="0"/>
          <c:tx>
            <c:strRef>
              <c:f>'[Copy of گرافها.xlsx]Y - to -Y'!$Q$1</c:f>
              <c:strCache>
                <c:ptCount val="1"/>
                <c:pt idx="0">
                  <c:v>  Furnishing and household goods</c:v>
                </c:pt>
              </c:strCache>
            </c:strRef>
          </c:tx>
          <c:spPr>
            <a:solidFill>
              <a:schemeClr val="accent5">
                <a:lumMod val="75000"/>
              </a:schemeClr>
            </a:solidFill>
            <a:ln w="25400">
              <a:solidFill>
                <a:srgbClr val="AA3616"/>
              </a:solidFill>
            </a:ln>
          </c:spP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-Y'!$Q$47:$Q$59</c:f>
              <c:numCache>
                <c:formatCode>0.00</c:formatCode>
                <c:ptCount val="13"/>
                <c:pt idx="0">
                  <c:v>3.6092394342319922</c:v>
                </c:pt>
                <c:pt idx="1">
                  <c:v>3.4729306206819688</c:v>
                </c:pt>
                <c:pt idx="2">
                  <c:v>2.9725961028298027</c:v>
                </c:pt>
                <c:pt idx="3">
                  <c:v>1.4210300910047797</c:v>
                </c:pt>
                <c:pt idx="4">
                  <c:v>-3.3780616846912359E-2</c:v>
                </c:pt>
                <c:pt idx="5">
                  <c:v>0.41816440464270688</c:v>
                </c:pt>
                <c:pt idx="6">
                  <c:v>1.02</c:v>
                </c:pt>
                <c:pt idx="7">
                  <c:v>1.42</c:v>
                </c:pt>
                <c:pt idx="8">
                  <c:v>1.08</c:v>
                </c:pt>
                <c:pt idx="9">
                  <c:v>0.35000000000000031</c:v>
                </c:pt>
                <c:pt idx="10">
                  <c:v>1.3900000000000001</c:v>
                </c:pt>
                <c:pt idx="11">
                  <c:v>0.78</c:v>
                </c:pt>
                <c:pt idx="12">
                  <c:v>1.8900000000000001</c:v>
                </c:pt>
              </c:numCache>
            </c:numRef>
          </c:val>
          <c:extLst xmlns:c16r2="http://schemas.microsoft.com/office/drawing/2015/06/chart">
            <c:ext xmlns:c16="http://schemas.microsoft.com/office/drawing/2014/chart" uri="{C3380CC4-5D6E-409C-BE32-E72D297353CC}">
              <c16:uniqueId val="{00000001-BDD8-4907-86E2-E8FB53653304}"/>
            </c:ext>
          </c:extLst>
        </c:ser>
        <c:axId val="156056576"/>
        <c:axId val="156074752"/>
      </c:barChart>
      <c:dateAx>
        <c:axId val="156056576"/>
        <c:scaling>
          <c:orientation val="minMax"/>
        </c:scaling>
        <c:axPos val="b"/>
        <c:numFmt formatCode="[$-409]mmm\-yy;@" sourceLinked="1"/>
        <c:tickLblPos val="nextTo"/>
        <c:spPr>
          <a:ln>
            <a:solidFill>
              <a:srgbClr val="0D0DB3"/>
            </a:solidFill>
          </a:ln>
        </c:spPr>
        <c:txPr>
          <a:bodyPr/>
          <a:lstStyle/>
          <a:p>
            <a:pPr>
              <a:defRPr sz="700"/>
            </a:pPr>
            <a:endParaRPr lang="en-US"/>
          </a:p>
        </c:txPr>
        <c:crossAx val="156074752"/>
        <c:crossesAt val="-0.5"/>
        <c:auto val="1"/>
        <c:lblOffset val="100"/>
        <c:baseTimeUnit val="months"/>
        <c:majorUnit val="1"/>
        <c:majorTimeUnit val="months"/>
      </c:dateAx>
      <c:valAx>
        <c:axId val="156074752"/>
        <c:scaling>
          <c:orientation val="minMax"/>
          <c:max val="5.5"/>
        </c:scaling>
        <c:axPos val="l"/>
        <c:majorGridlines/>
        <c:numFmt formatCode="0.0" sourceLinked="0"/>
        <c:tickLblPos val="nextTo"/>
        <c:spPr>
          <a:ln>
            <a:solidFill>
              <a:srgbClr val="0D0DB3"/>
            </a:solidFill>
          </a:ln>
        </c:spPr>
        <c:txPr>
          <a:bodyPr/>
          <a:lstStyle/>
          <a:p>
            <a:pPr>
              <a:defRPr sz="700"/>
            </a:pPr>
            <a:endParaRPr lang="en-US"/>
          </a:p>
        </c:txPr>
        <c:crossAx val="156056576"/>
        <c:crosses val="autoZero"/>
        <c:crossBetween val="between"/>
        <c:majorUnit val="1"/>
      </c:valAx>
    </c:plotArea>
    <c:plotVisOnly val="1"/>
    <c:dispBlanksAs val="gap"/>
  </c:chart>
  <c:externalData r:id="rId1">
    <c:autoUpdate val="1"/>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39"/>
  <c:chart>
    <c:title>
      <c:tx>
        <c:rich>
          <a:bodyPr/>
          <a:lstStyle/>
          <a:p>
            <a:pPr algn="ctr">
              <a:defRPr sz="900"/>
            </a:pPr>
            <a:r>
              <a:rPr lang="en-US" sz="900"/>
              <a:t>Health (Y-o-Y)</a:t>
            </a:r>
          </a:p>
        </c:rich>
      </c:tx>
      <c:layout>
        <c:manualLayout>
          <c:xMode val="edge"/>
          <c:yMode val="edge"/>
          <c:x val="0.32666719680848288"/>
          <c:y val="1.4758861690836421E-2"/>
        </c:manualLayout>
      </c:layout>
    </c:title>
    <c:plotArea>
      <c:layout>
        <c:manualLayout>
          <c:layoutTarget val="inner"/>
          <c:xMode val="edge"/>
          <c:yMode val="edge"/>
          <c:x val="0.15593564104278426"/>
          <c:y val="0.14099517529395789"/>
          <c:w val="0.8045035597482082"/>
          <c:h val="0.54536013479247658"/>
        </c:manualLayout>
      </c:layout>
      <c:barChart>
        <c:barDir val="col"/>
        <c:grouping val="clustered"/>
        <c:ser>
          <c:idx val="0"/>
          <c:order val="0"/>
          <c:tx>
            <c:strRef>
              <c:f>'Y - to -Y'!$L$1</c:f>
              <c:strCache>
                <c:ptCount val="1"/>
                <c:pt idx="0">
                  <c:v>  Non-alcoholic beverages</c:v>
                </c:pt>
              </c:strCache>
            </c:strRef>
          </c:tx>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-Y'!$R$47:$R$59</c:f>
              <c:numCache>
                <c:formatCode>0.00</c:formatCode>
                <c:ptCount val="13"/>
                <c:pt idx="0">
                  <c:v>5.4309136726317542</c:v>
                </c:pt>
                <c:pt idx="1">
                  <c:v>6.0163439713484479</c:v>
                </c:pt>
                <c:pt idx="2">
                  <c:v>5.4653212152579789</c:v>
                </c:pt>
                <c:pt idx="3">
                  <c:v>5.5325391258444414</c:v>
                </c:pt>
                <c:pt idx="4">
                  <c:v>5.6688626138649454</c:v>
                </c:pt>
                <c:pt idx="5">
                  <c:v>6.0788243894556198</c:v>
                </c:pt>
                <c:pt idx="6">
                  <c:v>4.41</c:v>
                </c:pt>
                <c:pt idx="7">
                  <c:v>5.6</c:v>
                </c:pt>
                <c:pt idx="8">
                  <c:v>5.83</c:v>
                </c:pt>
                <c:pt idx="9">
                  <c:v>6.5</c:v>
                </c:pt>
                <c:pt idx="10">
                  <c:v>4.3599999999999985</c:v>
                </c:pt>
                <c:pt idx="11">
                  <c:v>8.8600000000000048</c:v>
                </c:pt>
                <c:pt idx="12">
                  <c:v>8.7200000000000024</c:v>
                </c:pt>
              </c:numCache>
            </c:numRef>
          </c:val>
          <c:extLst xmlns:c16r2="http://schemas.microsoft.com/office/drawing/2015/06/chart">
            <c:ext xmlns:c16="http://schemas.microsoft.com/office/drawing/2014/chart" uri="{C3380CC4-5D6E-409C-BE32-E72D297353CC}">
              <c16:uniqueId val="{00000000-FF3A-4D3B-866F-07F53C885FCC}"/>
            </c:ext>
          </c:extLst>
        </c:ser>
        <c:axId val="156086656"/>
        <c:axId val="156088192"/>
      </c:barChart>
      <c:dateAx>
        <c:axId val="156086656"/>
        <c:scaling>
          <c:orientation val="minMax"/>
        </c:scaling>
        <c:axPos val="b"/>
        <c:numFmt formatCode="[$-409]mmm\-yy;@" sourceLinked="1"/>
        <c:tickLblPos val="nextTo"/>
        <c:txPr>
          <a:bodyPr rot="-2700000"/>
          <a:lstStyle/>
          <a:p>
            <a:pPr>
              <a:defRPr sz="700"/>
            </a:pPr>
            <a:endParaRPr lang="en-US"/>
          </a:p>
        </c:txPr>
        <c:crossAx val="156088192"/>
        <c:crossesAt val="-15"/>
        <c:auto val="1"/>
        <c:lblOffset val="100"/>
        <c:baseTimeUnit val="months"/>
      </c:dateAx>
      <c:valAx>
        <c:axId val="156088192"/>
        <c:scaling>
          <c:orientation val="minMax"/>
          <c:max val="12"/>
          <c:min val="0"/>
        </c:scaling>
        <c:axPos val="l"/>
        <c:majorGridlines/>
        <c:numFmt formatCode="0.0" sourceLinked="0"/>
        <c:tickLblPos val="nextTo"/>
        <c:txPr>
          <a:bodyPr/>
          <a:lstStyle/>
          <a:p>
            <a:pPr>
              <a:defRPr sz="750"/>
            </a:pPr>
            <a:endParaRPr lang="en-US"/>
          </a:p>
        </c:txPr>
        <c:crossAx val="156086656"/>
        <c:crosses val="autoZero"/>
        <c:crossBetween val="between"/>
        <c:majorUnit val="2"/>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baseline="0"/>
              <a:t> Headline Inflation (Y-o-Y)</a:t>
            </a:r>
            <a:endParaRPr lang="en-US" sz="800"/>
          </a:p>
        </c:rich>
      </c:tx>
      <c:layout>
        <c:manualLayout>
          <c:xMode val="edge"/>
          <c:yMode val="edge"/>
          <c:x val="0.28092398260319762"/>
          <c:y val="5.9146533605853591E-2"/>
        </c:manualLayout>
      </c:layout>
    </c:title>
    <c:plotArea>
      <c:layout>
        <c:manualLayout>
          <c:layoutTarget val="inner"/>
          <c:xMode val="edge"/>
          <c:yMode val="edge"/>
          <c:x val="0.13923132153887649"/>
          <c:y val="0.21250335203103038"/>
          <c:w val="0.79903535297894235"/>
          <c:h val="0.53376491399313764"/>
        </c:manualLayout>
      </c:layout>
      <c:barChart>
        <c:barDir val="col"/>
        <c:grouping val="clustered"/>
        <c:ser>
          <c:idx val="0"/>
          <c:order val="0"/>
          <c:tx>
            <c:strRef>
              <c:f>'Y - to -Y'!$B$1</c:f>
              <c:strCache>
                <c:ptCount val="1"/>
                <c:pt idx="0">
                  <c:v>Overall Index</c:v>
                </c:pt>
              </c:strCache>
            </c:strRef>
          </c:tx>
          <c:spPr>
            <a:solidFill>
              <a:srgbClr val="E2CD82"/>
            </a:solidFill>
            <a:ln>
              <a:solidFill>
                <a:schemeClr val="tx1"/>
              </a:solidFill>
            </a:ln>
          </c:spPr>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-Y'!$B$47:$B$59</c:f>
              <c:numCache>
                <c:formatCode>0.00</c:formatCode>
                <c:ptCount val="13"/>
                <c:pt idx="0">
                  <c:v>2.7672467239067799</c:v>
                </c:pt>
                <c:pt idx="1">
                  <c:v>2.9238702923755082</c:v>
                </c:pt>
                <c:pt idx="2">
                  <c:v>1.8484772791760997</c:v>
                </c:pt>
                <c:pt idx="3">
                  <c:v>1.1203754575225933</c:v>
                </c:pt>
                <c:pt idx="4">
                  <c:v>1.222375883693894</c:v>
                </c:pt>
                <c:pt idx="5">
                  <c:v>2.7725783977994971</c:v>
                </c:pt>
                <c:pt idx="6">
                  <c:v>3.75</c:v>
                </c:pt>
                <c:pt idx="7">
                  <c:v>3.84</c:v>
                </c:pt>
                <c:pt idx="8">
                  <c:v>3.02</c:v>
                </c:pt>
                <c:pt idx="9">
                  <c:v>8.67</c:v>
                </c:pt>
                <c:pt idx="10">
                  <c:v>6.26</c:v>
                </c:pt>
                <c:pt idx="11">
                  <c:v>6.3599999999999985</c:v>
                </c:pt>
                <c:pt idx="12">
                  <c:v>6.33</c:v>
                </c:pt>
              </c:numCache>
            </c:numRef>
          </c:val>
          <c:extLst xmlns:c16r2="http://schemas.microsoft.com/office/drawing/2015/06/chart">
            <c:ext xmlns:c16="http://schemas.microsoft.com/office/drawing/2014/chart" uri="{C3380CC4-5D6E-409C-BE32-E72D297353CC}">
              <c16:uniqueId val="{00000000-6A46-4D2C-81C7-5346CA3B3AA7}"/>
            </c:ext>
          </c:extLst>
        </c:ser>
        <c:axId val="148968192"/>
        <c:axId val="148969728"/>
      </c:barChart>
      <c:dateAx>
        <c:axId val="148968192"/>
        <c:scaling>
          <c:orientation val="minMax"/>
        </c:scaling>
        <c:axPos val="b"/>
        <c:numFmt formatCode="[$-409]mmm\-yy;@" sourceLinked="1"/>
        <c:tickLblPos val="nextTo"/>
        <c:txPr>
          <a:bodyPr rot="-2040000" vert="horz" anchor="t" anchorCtr="1"/>
          <a:lstStyle/>
          <a:p>
            <a:pPr>
              <a:defRPr sz="700"/>
            </a:pPr>
            <a:endParaRPr lang="en-US"/>
          </a:p>
        </c:txPr>
        <c:crossAx val="148969728"/>
        <c:crossesAt val="-2.5"/>
        <c:auto val="1"/>
        <c:lblOffset val="100"/>
        <c:baseTimeUnit val="months"/>
      </c:dateAx>
      <c:valAx>
        <c:axId val="148969728"/>
        <c:scaling>
          <c:orientation val="minMax"/>
          <c:max val="10"/>
          <c:min val="0"/>
        </c:scaling>
        <c:axPos val="l"/>
        <c:majorGridlines/>
        <c:numFmt formatCode="0.0" sourceLinked="0"/>
        <c:tickLblPos val="nextTo"/>
        <c:txPr>
          <a:bodyPr/>
          <a:lstStyle/>
          <a:p>
            <a:pPr>
              <a:defRPr sz="700"/>
            </a:pPr>
            <a:endParaRPr lang="en-US"/>
          </a:p>
        </c:txPr>
        <c:crossAx val="148968192"/>
        <c:crosses val="autoZero"/>
        <c:crossBetween val="between"/>
        <c:majorUnit val="2.5"/>
      </c:valAx>
      <c:spPr>
        <a:ln>
          <a:prstDash val="solid"/>
        </a:ln>
      </c:spPr>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  </a:t>
            </a:r>
            <a:r>
              <a:rPr lang="en-US" sz="800" b="1" baseline="0"/>
              <a:t> </a:t>
            </a:r>
            <a:r>
              <a:rPr lang="en-US" sz="800" b="1"/>
              <a:t>Transportation </a:t>
            </a:r>
            <a:r>
              <a:rPr lang="en-US" sz="800" b="0"/>
              <a:t>(Y-o-Y)</a:t>
            </a:r>
          </a:p>
        </c:rich>
      </c:tx>
      <c:layout>
        <c:manualLayout>
          <c:xMode val="edge"/>
          <c:yMode val="edge"/>
          <c:x val="0.23605460276369566"/>
          <c:y val="8.1858579558743419E-4"/>
        </c:manualLayout>
      </c:layout>
      <c:spPr>
        <a:solidFill>
          <a:schemeClr val="bg1"/>
        </a:solidFill>
      </c:spPr>
    </c:title>
    <c:plotArea>
      <c:layout>
        <c:manualLayout>
          <c:layoutTarget val="inner"/>
          <c:xMode val="edge"/>
          <c:yMode val="edge"/>
          <c:x val="0.18979182396720978"/>
          <c:y val="0.13263128856798478"/>
          <c:w val="0.77535301238030263"/>
          <c:h val="0.56905685723024169"/>
        </c:manualLayout>
      </c:layout>
      <c:barChart>
        <c:barDir val="col"/>
        <c:grouping val="clustered"/>
        <c:ser>
          <c:idx val="1"/>
          <c:order val="1"/>
          <c:tx>
            <c:strRef>
              <c:f>'Y - to -Y'!$S$1</c:f>
            </c:strRef>
          </c:tx>
          <c:spPr>
            <a:solidFill>
              <a:srgbClr val="3B3838"/>
            </a:solidFill>
            <a:ln w="25400">
              <a:solidFill>
                <a:schemeClr val="accent2">
                  <a:lumMod val="60000"/>
                  <a:lumOff val="40000"/>
                </a:schemeClr>
              </a:solidFill>
            </a:ln>
          </c:spPr>
          <c:cat>
            <c:multiLvlStrRef>
              <c:f>'Y - to -Y'!$A$41:$A$53</c:f>
            </c:multiLvlStrRef>
          </c:cat>
          <c:val>
            <c:numRef>
              <c:f>'Y - to -Y'!$S$41:$S$53</c:f>
            </c:numRef>
          </c:val>
          <c:extLst xmlns:c16r2="http://schemas.microsoft.com/office/drawing/2015/06/chart">
            <c:ext xmlns:c16="http://schemas.microsoft.com/office/drawing/2014/chart" uri="{C3380CC4-5D6E-409C-BE32-E72D297353CC}">
              <c16:uniqueId val="{00000000-5140-4D22-B751-7354D7E22C35}"/>
            </c:ext>
          </c:extLst>
        </c:ser>
        <c:ser>
          <c:idx val="0"/>
          <c:order val="0"/>
          <c:tx>
            <c:strRef>
              <c:f>'[Copy of گرافها.xlsx]Y - to -Y'!$S$1</c:f>
              <c:strCache>
                <c:ptCount val="1"/>
                <c:pt idx="0">
                  <c:v>  Transportation</c:v>
                </c:pt>
              </c:strCache>
            </c:strRef>
          </c:tx>
          <c:spPr>
            <a:solidFill>
              <a:schemeClr val="bg2">
                <a:lumMod val="25000"/>
              </a:schemeClr>
            </a:solidFill>
            <a:ln w="25400">
              <a:solidFill>
                <a:schemeClr val="accent2">
                  <a:lumMod val="60000"/>
                  <a:lumOff val="40000"/>
                </a:schemeClr>
              </a:solidFill>
            </a:ln>
          </c:spP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-Y'!$S$47:$S$59</c:f>
              <c:numCache>
                <c:formatCode>0.00</c:formatCode>
                <c:ptCount val="13"/>
                <c:pt idx="0">
                  <c:v>-0.33484933364611447</c:v>
                </c:pt>
                <c:pt idx="1">
                  <c:v>-2.2660460102545743</c:v>
                </c:pt>
                <c:pt idx="2">
                  <c:v>-3.8590230743828577</c:v>
                </c:pt>
                <c:pt idx="3">
                  <c:v>-6.6663186587662722</c:v>
                </c:pt>
                <c:pt idx="4">
                  <c:v>-7.5925931517622729</c:v>
                </c:pt>
                <c:pt idx="5">
                  <c:v>-6.1765905153218714</c:v>
                </c:pt>
                <c:pt idx="6">
                  <c:v>-4.6899999999999995</c:v>
                </c:pt>
                <c:pt idx="7">
                  <c:v>-3.86</c:v>
                </c:pt>
                <c:pt idx="8">
                  <c:v>-5.14</c:v>
                </c:pt>
                <c:pt idx="9">
                  <c:v>-3.44</c:v>
                </c:pt>
                <c:pt idx="10">
                  <c:v>-10.14</c:v>
                </c:pt>
                <c:pt idx="11">
                  <c:v>-10.44</c:v>
                </c:pt>
                <c:pt idx="12">
                  <c:v>-14.76</c:v>
                </c:pt>
              </c:numCache>
            </c:numRef>
          </c:val>
          <c:extLst xmlns:c16r2="http://schemas.microsoft.com/office/drawing/2015/06/chart">
            <c:ext xmlns:c16="http://schemas.microsoft.com/office/drawing/2014/chart" uri="{C3380CC4-5D6E-409C-BE32-E72D297353CC}">
              <c16:uniqueId val="{00000001-5140-4D22-B751-7354D7E22C35}"/>
            </c:ext>
          </c:extLst>
        </c:ser>
        <c:axId val="156985984"/>
        <c:axId val="157000064"/>
      </c:barChart>
      <c:dateAx>
        <c:axId val="156985984"/>
        <c:scaling>
          <c:orientation val="minMax"/>
        </c:scaling>
        <c:axPos val="b"/>
        <c:numFmt formatCode="[$-409]mmm\-yy;@" sourceLinked="1"/>
        <c:tickLblPos val="nextTo"/>
        <c:txPr>
          <a:bodyPr rot="-2700000" vert="horz"/>
          <a:lstStyle/>
          <a:p>
            <a:pPr>
              <a:defRPr sz="700"/>
            </a:pPr>
            <a:endParaRPr lang="en-US"/>
          </a:p>
        </c:txPr>
        <c:crossAx val="157000064"/>
        <c:crossesAt val="-15"/>
        <c:auto val="1"/>
        <c:lblOffset val="100"/>
        <c:baseTimeUnit val="months"/>
      </c:dateAx>
      <c:valAx>
        <c:axId val="157000064"/>
        <c:scaling>
          <c:orientation val="minMax"/>
          <c:min val="-15"/>
        </c:scaling>
        <c:axPos val="l"/>
        <c:majorGridlines/>
        <c:numFmt formatCode="0.0" sourceLinked="0"/>
        <c:tickLblPos val="nextTo"/>
        <c:txPr>
          <a:bodyPr/>
          <a:lstStyle/>
          <a:p>
            <a:pPr>
              <a:defRPr sz="750"/>
            </a:pPr>
            <a:endParaRPr lang="en-US"/>
          </a:p>
        </c:txPr>
        <c:crossAx val="156985984"/>
        <c:crosses val="autoZero"/>
        <c:crossBetween val="between"/>
        <c:majorUnit val="3"/>
      </c:valAx>
    </c:plotArea>
    <c:plotVisOnly val="1"/>
    <c:dispBlanksAs val="gap"/>
  </c:chart>
  <c:externalData r:id="rId1">
    <c:autoUpdate val="1"/>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a:pPr>
            <a:r>
              <a:rPr lang="en-US" sz="800" b="1" i="0" u="none" strike="noStrike" baseline="0"/>
              <a:t> communication &amp; Information and culture (Y-o-Y)</a:t>
            </a:r>
            <a:endParaRPr lang="en-US" sz="800" b="1"/>
          </a:p>
        </c:rich>
      </c:tx>
      <c:layout>
        <c:manualLayout>
          <c:xMode val="edge"/>
          <c:yMode val="edge"/>
          <c:x val="0.13919698752468374"/>
          <c:y val="5.9599029613957724E-3"/>
        </c:manualLayout>
      </c:layout>
    </c:title>
    <c:plotArea>
      <c:layout>
        <c:manualLayout>
          <c:layoutTarget val="inner"/>
          <c:xMode val="edge"/>
          <c:yMode val="edge"/>
          <c:x val="0.15593564104278396"/>
          <c:y val="0.2025857650146673"/>
          <c:w val="0.8045035597482092"/>
          <c:h val="0.37748516050878539"/>
        </c:manualLayout>
      </c:layout>
      <c:barChart>
        <c:barDir val="col"/>
        <c:grouping val="clustered"/>
        <c:ser>
          <c:idx val="0"/>
          <c:order val="0"/>
          <c:tx>
            <c:strRef>
              <c:f>'Y - to -Y'!$T$1</c:f>
              <c:strCache>
                <c:ptCount val="1"/>
                <c:pt idx="0">
                  <c:v>  Communication</c:v>
                </c:pt>
              </c:strCache>
            </c:strRef>
          </c:tx>
          <c:spPr>
            <a:ln w="28575">
              <a:solidFill>
                <a:schemeClr val="tx1"/>
              </a:solidFill>
            </a:ln>
          </c:spPr>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-Y'!$T$47:$T$59</c:f>
              <c:numCache>
                <c:formatCode>0.00</c:formatCode>
                <c:ptCount val="13"/>
                <c:pt idx="0">
                  <c:v>-5.0974787431054303</c:v>
                </c:pt>
                <c:pt idx="1">
                  <c:v>-5.8414800987951709</c:v>
                </c:pt>
                <c:pt idx="2">
                  <c:v>-6.6291271766736415</c:v>
                </c:pt>
                <c:pt idx="3">
                  <c:v>-6.6790357164393743</c:v>
                </c:pt>
                <c:pt idx="4">
                  <c:v>-5.3224783101187807</c:v>
                </c:pt>
                <c:pt idx="5">
                  <c:v>-4.4342295592003982</c:v>
                </c:pt>
                <c:pt idx="6">
                  <c:v>-3.3899999999999997</c:v>
                </c:pt>
                <c:pt idx="7">
                  <c:v>-3.6</c:v>
                </c:pt>
                <c:pt idx="8">
                  <c:v>-4.42</c:v>
                </c:pt>
                <c:pt idx="9">
                  <c:v>-3.8899999999999997</c:v>
                </c:pt>
                <c:pt idx="10">
                  <c:v>-4.22</c:v>
                </c:pt>
                <c:pt idx="11">
                  <c:v>-2.4</c:v>
                </c:pt>
                <c:pt idx="12">
                  <c:v>-2.06</c:v>
                </c:pt>
              </c:numCache>
            </c:numRef>
          </c:val>
          <c:extLst xmlns:c16r2="http://schemas.microsoft.com/office/drawing/2015/06/chart">
            <c:ext xmlns:c16="http://schemas.microsoft.com/office/drawing/2014/chart" uri="{C3380CC4-5D6E-409C-BE32-E72D297353CC}">
              <c16:uniqueId val="{00000000-028D-49EF-8581-EE7BD4831804}"/>
            </c:ext>
          </c:extLst>
        </c:ser>
        <c:axId val="157099520"/>
        <c:axId val="157101056"/>
      </c:barChart>
      <c:lineChart>
        <c:grouping val="stacked"/>
        <c:ser>
          <c:idx val="1"/>
          <c:order val="1"/>
          <c:tx>
            <c:strRef>
              <c:f>'Y - to -Y'!$U$1</c:f>
              <c:strCache>
                <c:ptCount val="1"/>
                <c:pt idx="0">
                  <c:v>  Information and Culture</c:v>
                </c:pt>
              </c:strCache>
            </c:strRef>
          </c:tx>
          <c:marker>
            <c:symbol val="none"/>
          </c:marker>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-Y'!$U$47:$U$59</c:f>
              <c:numCache>
                <c:formatCode>0.00</c:formatCode>
                <c:ptCount val="13"/>
                <c:pt idx="0">
                  <c:v>2.6566193721125231</c:v>
                </c:pt>
                <c:pt idx="1">
                  <c:v>3.4351555619225769</c:v>
                </c:pt>
                <c:pt idx="2">
                  <c:v>2.9804153269247227</c:v>
                </c:pt>
                <c:pt idx="3">
                  <c:v>0.61085636381572606</c:v>
                </c:pt>
                <c:pt idx="4">
                  <c:v>3.9818957417457672</c:v>
                </c:pt>
                <c:pt idx="5">
                  <c:v>4.3287700472377475</c:v>
                </c:pt>
                <c:pt idx="6">
                  <c:v>4.34</c:v>
                </c:pt>
                <c:pt idx="7">
                  <c:v>3.66</c:v>
                </c:pt>
                <c:pt idx="8">
                  <c:v>2.0699999999999998</c:v>
                </c:pt>
                <c:pt idx="9">
                  <c:v>0.87000000000000022</c:v>
                </c:pt>
                <c:pt idx="10">
                  <c:v>1.77</c:v>
                </c:pt>
                <c:pt idx="11">
                  <c:v>3.15</c:v>
                </c:pt>
                <c:pt idx="12">
                  <c:v>0.68</c:v>
                </c:pt>
              </c:numCache>
            </c:numRef>
          </c:val>
          <c:extLst xmlns:c16r2="http://schemas.microsoft.com/office/drawing/2015/06/chart">
            <c:ext xmlns:c16="http://schemas.microsoft.com/office/drawing/2014/chart" uri="{C3380CC4-5D6E-409C-BE32-E72D297353CC}">
              <c16:uniqueId val="{00000001-028D-49EF-8581-EE7BD4831804}"/>
            </c:ext>
          </c:extLst>
        </c:ser>
        <c:marker val="1"/>
        <c:axId val="157099520"/>
        <c:axId val="157101056"/>
      </c:lineChart>
      <c:dateAx>
        <c:axId val="157099520"/>
        <c:scaling>
          <c:orientation val="minMax"/>
        </c:scaling>
        <c:axPos val="b"/>
        <c:numFmt formatCode="[$-409]mmm\-yy;@" sourceLinked="1"/>
        <c:tickLblPos val="nextTo"/>
        <c:txPr>
          <a:bodyPr rot="-2700000"/>
          <a:lstStyle/>
          <a:p>
            <a:pPr>
              <a:defRPr sz="700"/>
            </a:pPr>
            <a:endParaRPr lang="en-US"/>
          </a:p>
        </c:txPr>
        <c:crossAx val="157101056"/>
        <c:crossesAt val="-15"/>
        <c:auto val="1"/>
        <c:lblOffset val="100"/>
        <c:baseTimeUnit val="months"/>
      </c:dateAx>
      <c:valAx>
        <c:axId val="157101056"/>
        <c:scaling>
          <c:orientation val="minMax"/>
          <c:max val="8"/>
        </c:scaling>
        <c:axPos val="l"/>
        <c:majorGridlines/>
        <c:numFmt formatCode="0.00" sourceLinked="0"/>
        <c:tickLblPos val="nextTo"/>
        <c:txPr>
          <a:bodyPr/>
          <a:lstStyle/>
          <a:p>
            <a:pPr>
              <a:defRPr sz="700"/>
            </a:pPr>
            <a:endParaRPr lang="en-US"/>
          </a:p>
        </c:txPr>
        <c:crossAx val="157099520"/>
        <c:crosses val="autoZero"/>
        <c:crossBetween val="between"/>
        <c:majorUnit val="4"/>
      </c:valAx>
    </c:plotArea>
    <c:legend>
      <c:legendPos val="b"/>
      <c:layout>
        <c:manualLayout>
          <c:xMode val="edge"/>
          <c:yMode val="edge"/>
          <c:x val="0"/>
          <c:y val="0.8175460641013248"/>
          <c:w val="1"/>
          <c:h val="0.12941205250012838"/>
        </c:manualLayout>
      </c:layout>
      <c:txPr>
        <a:bodyPr/>
        <a:lstStyle/>
        <a:p>
          <a:pPr>
            <a:defRPr sz="700"/>
          </a:pPr>
          <a:endParaRPr lang="en-US"/>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baseline="0"/>
              <a:t> Education  (Y-o-Y)</a:t>
            </a:r>
            <a:endParaRPr lang="en-US" sz="800"/>
          </a:p>
        </c:rich>
      </c:tx>
      <c:layout>
        <c:manualLayout>
          <c:xMode val="edge"/>
          <c:yMode val="edge"/>
          <c:x val="0.28092398260319762"/>
          <c:y val="5.9146533605853591E-2"/>
        </c:manualLayout>
      </c:layout>
    </c:title>
    <c:plotArea>
      <c:layout>
        <c:manualLayout>
          <c:layoutTarget val="inner"/>
          <c:xMode val="edge"/>
          <c:yMode val="edge"/>
          <c:x val="0.13923132153887649"/>
          <c:y val="0.21250335203102996"/>
          <c:w val="0.79903535297894235"/>
          <c:h val="0.53376491399313764"/>
        </c:manualLayout>
      </c:layout>
      <c:barChart>
        <c:barDir val="col"/>
        <c:grouping val="clustered"/>
        <c:ser>
          <c:idx val="0"/>
          <c:order val="0"/>
          <c:tx>
            <c:strRef>
              <c:f>'Y - to -Y'!$V$1</c:f>
              <c:strCache>
                <c:ptCount val="1"/>
                <c:pt idx="0">
                  <c:v>  Education</c:v>
                </c:pt>
              </c:strCache>
            </c:strRef>
          </c:tx>
          <c:spPr>
            <a:solidFill>
              <a:srgbClr val="00B050"/>
            </a:solidFill>
            <a:ln>
              <a:solidFill>
                <a:srgbClr val="92D050"/>
              </a:solidFill>
            </a:ln>
          </c:spPr>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-Y'!$V$47:$V$59</c:f>
              <c:numCache>
                <c:formatCode>0.00</c:formatCode>
                <c:ptCount val="13"/>
                <c:pt idx="0">
                  <c:v>0.44889544904018741</c:v>
                </c:pt>
                <c:pt idx="1">
                  <c:v>3.0658358906366248</c:v>
                </c:pt>
                <c:pt idx="2">
                  <c:v>1.844518368236137</c:v>
                </c:pt>
                <c:pt idx="3">
                  <c:v>2.8267925036452581</c:v>
                </c:pt>
                <c:pt idx="4">
                  <c:v>0.33103880261657892</c:v>
                </c:pt>
                <c:pt idx="5">
                  <c:v>1.5816355717669599</c:v>
                </c:pt>
                <c:pt idx="6">
                  <c:v>-0.58000000000000007</c:v>
                </c:pt>
                <c:pt idx="7">
                  <c:v>0.8</c:v>
                </c:pt>
                <c:pt idx="8">
                  <c:v>0.26</c:v>
                </c:pt>
                <c:pt idx="9">
                  <c:v>6.55</c:v>
                </c:pt>
                <c:pt idx="10">
                  <c:v>1.24</c:v>
                </c:pt>
                <c:pt idx="11">
                  <c:v>0.83000000000000018</c:v>
                </c:pt>
                <c:pt idx="12">
                  <c:v>1.1599999999999995</c:v>
                </c:pt>
              </c:numCache>
            </c:numRef>
          </c:val>
          <c:extLst xmlns:c16r2="http://schemas.microsoft.com/office/drawing/2015/06/chart">
            <c:ext xmlns:c16="http://schemas.microsoft.com/office/drawing/2014/chart" uri="{C3380CC4-5D6E-409C-BE32-E72D297353CC}">
              <c16:uniqueId val="{00000000-43F9-4489-A6C1-536615287299}"/>
            </c:ext>
          </c:extLst>
        </c:ser>
        <c:axId val="157129728"/>
        <c:axId val="152683264"/>
      </c:barChart>
      <c:dateAx>
        <c:axId val="157129728"/>
        <c:scaling>
          <c:orientation val="minMax"/>
        </c:scaling>
        <c:axPos val="b"/>
        <c:numFmt formatCode="[$-409]mmm\-yy;@" sourceLinked="1"/>
        <c:tickLblPos val="nextTo"/>
        <c:txPr>
          <a:bodyPr rot="-2040000" vert="horz" anchor="t" anchorCtr="1"/>
          <a:lstStyle/>
          <a:p>
            <a:pPr>
              <a:defRPr sz="700"/>
            </a:pPr>
            <a:endParaRPr lang="en-US"/>
          </a:p>
        </c:txPr>
        <c:crossAx val="152683264"/>
        <c:crossesAt val="-2.5"/>
        <c:auto val="1"/>
        <c:lblOffset val="100"/>
        <c:baseTimeUnit val="months"/>
      </c:dateAx>
      <c:valAx>
        <c:axId val="152683264"/>
        <c:scaling>
          <c:orientation val="minMax"/>
          <c:max val="10"/>
          <c:min val="0"/>
        </c:scaling>
        <c:axPos val="l"/>
        <c:majorGridlines/>
        <c:numFmt formatCode="0.0" sourceLinked="0"/>
        <c:tickLblPos val="nextTo"/>
        <c:txPr>
          <a:bodyPr/>
          <a:lstStyle/>
          <a:p>
            <a:pPr>
              <a:defRPr sz="700"/>
            </a:pPr>
            <a:endParaRPr lang="en-US"/>
          </a:p>
        </c:txPr>
        <c:crossAx val="157129728"/>
        <c:crosses val="autoZero"/>
        <c:crossBetween val="between"/>
        <c:majorUnit val="2.5"/>
      </c:valAx>
      <c:spPr>
        <a:ln>
          <a:prstDash val="solid"/>
        </a:ln>
      </c:spPr>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00"/>
            </a:pPr>
            <a:r>
              <a:rPr lang="en-US" sz="700" baseline="0"/>
              <a:t> </a:t>
            </a:r>
            <a:r>
              <a:rPr lang="en-US" sz="700"/>
              <a:t>Restaurants &amp;</a:t>
            </a:r>
            <a:r>
              <a:rPr lang="en-US" sz="700" baseline="0"/>
              <a:t> Hotels and Miscellaneous (Y-o-Y)  </a:t>
            </a:r>
            <a:endParaRPr lang="en-US" sz="700"/>
          </a:p>
        </c:rich>
      </c:tx>
      <c:layout>
        <c:manualLayout>
          <c:xMode val="edge"/>
          <c:yMode val="edge"/>
          <c:x val="0.19754373916925844"/>
          <c:y val="3.2837823324638688E-4"/>
        </c:manualLayout>
      </c:layout>
    </c:title>
    <c:plotArea>
      <c:layout>
        <c:manualLayout>
          <c:layoutTarget val="inner"/>
          <c:xMode val="edge"/>
          <c:yMode val="edge"/>
          <c:x val="0.15999511907194575"/>
          <c:y val="0.17901796859713201"/>
          <c:w val="0.79925811785360268"/>
          <c:h val="0.51535365042450265"/>
        </c:manualLayout>
      </c:layout>
      <c:barChart>
        <c:barDir val="col"/>
        <c:grouping val="clustered"/>
        <c:ser>
          <c:idx val="1"/>
          <c:order val="0"/>
          <c:tx>
            <c:strRef>
              <c:f>'Y - to -Y'!$W$1</c:f>
              <c:strCache>
                <c:ptCount val="1"/>
                <c:pt idx="0">
                  <c:v>  Restaurants and Hotels</c:v>
                </c:pt>
              </c:strCache>
            </c:strRef>
          </c:tx>
          <c:spPr>
            <a:ln w="25400">
              <a:solidFill>
                <a:srgbClr val="7A6AF2"/>
              </a:solidFill>
            </a:ln>
          </c:spPr>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-Y'!$W$47:$W$59</c:f>
              <c:numCache>
                <c:formatCode>0.00</c:formatCode>
                <c:ptCount val="13"/>
                <c:pt idx="0">
                  <c:v>3.7897273001838316</c:v>
                </c:pt>
                <c:pt idx="1">
                  <c:v>0.2703233488968948</c:v>
                </c:pt>
                <c:pt idx="2">
                  <c:v>1.3583634384272125</c:v>
                </c:pt>
                <c:pt idx="3">
                  <c:v>1.8194184514359835</c:v>
                </c:pt>
                <c:pt idx="4">
                  <c:v>4.0713229110542111</c:v>
                </c:pt>
                <c:pt idx="5">
                  <c:v>4.2575181025050295</c:v>
                </c:pt>
                <c:pt idx="6">
                  <c:v>3.61</c:v>
                </c:pt>
                <c:pt idx="7">
                  <c:v>3.12</c:v>
                </c:pt>
                <c:pt idx="8">
                  <c:v>3.09</c:v>
                </c:pt>
                <c:pt idx="9">
                  <c:v>2.0299999999999998</c:v>
                </c:pt>
                <c:pt idx="10">
                  <c:v>1.76</c:v>
                </c:pt>
                <c:pt idx="11">
                  <c:v>0.9700000000000002</c:v>
                </c:pt>
                <c:pt idx="12">
                  <c:v>-1.2</c:v>
                </c:pt>
              </c:numCache>
            </c:numRef>
          </c:val>
          <c:extLst xmlns:c16r2="http://schemas.microsoft.com/office/drawing/2015/06/chart">
            <c:ext xmlns:c16="http://schemas.microsoft.com/office/drawing/2014/chart" uri="{C3380CC4-5D6E-409C-BE32-E72D297353CC}">
              <c16:uniqueId val="{00000000-3B4E-4E3B-9C0E-63AE9F524847}"/>
            </c:ext>
          </c:extLst>
        </c:ser>
        <c:axId val="157611904"/>
        <c:axId val="157613440"/>
      </c:barChart>
      <c:lineChart>
        <c:grouping val="stacked"/>
        <c:ser>
          <c:idx val="2"/>
          <c:order val="1"/>
          <c:tx>
            <c:strRef>
              <c:f>'Y - to -Y'!$X$1</c:f>
              <c:strCache>
                <c:ptCount val="1"/>
                <c:pt idx="0">
                  <c:v>  Miscellaneous</c:v>
                </c:pt>
              </c:strCache>
            </c:strRef>
          </c:tx>
          <c:spPr>
            <a:ln w="19050">
              <a:solidFill>
                <a:srgbClr val="002060"/>
              </a:solidFill>
            </a:ln>
          </c:spPr>
          <c:marker>
            <c:symbol val="none"/>
          </c:marker>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-Y'!$X$47:$X$59</c:f>
              <c:numCache>
                <c:formatCode>0.00</c:formatCode>
                <c:ptCount val="13"/>
                <c:pt idx="0">
                  <c:v>2.9491424993795183</c:v>
                </c:pt>
                <c:pt idx="1">
                  <c:v>4.0620214063293636</c:v>
                </c:pt>
                <c:pt idx="2">
                  <c:v>6.1485709266694464</c:v>
                </c:pt>
                <c:pt idx="3">
                  <c:v>6.7721209798801585</c:v>
                </c:pt>
                <c:pt idx="4">
                  <c:v>5.5337817727407312</c:v>
                </c:pt>
                <c:pt idx="5">
                  <c:v>9.8328649688119718</c:v>
                </c:pt>
                <c:pt idx="6">
                  <c:v>9.7900000000000009</c:v>
                </c:pt>
                <c:pt idx="7">
                  <c:v>10.82</c:v>
                </c:pt>
                <c:pt idx="8">
                  <c:v>12.350000000000003</c:v>
                </c:pt>
                <c:pt idx="9">
                  <c:v>13.23</c:v>
                </c:pt>
                <c:pt idx="10">
                  <c:v>12.4</c:v>
                </c:pt>
                <c:pt idx="11">
                  <c:v>14.17</c:v>
                </c:pt>
                <c:pt idx="12">
                  <c:v>13.370000000000003</c:v>
                </c:pt>
              </c:numCache>
            </c:numRef>
          </c:val>
          <c:extLst xmlns:c16r2="http://schemas.microsoft.com/office/drawing/2015/06/chart">
            <c:ext xmlns:c16="http://schemas.microsoft.com/office/drawing/2014/chart" uri="{C3380CC4-5D6E-409C-BE32-E72D297353CC}">
              <c16:uniqueId val="{00000001-3B4E-4E3B-9C0E-63AE9F524847}"/>
            </c:ext>
          </c:extLst>
        </c:ser>
        <c:marker val="1"/>
        <c:axId val="157611904"/>
        <c:axId val="157613440"/>
      </c:lineChart>
      <c:dateAx>
        <c:axId val="157611904"/>
        <c:scaling>
          <c:orientation val="minMax"/>
        </c:scaling>
        <c:axPos val="b"/>
        <c:numFmt formatCode="[$-409]mmm\-yy;@" sourceLinked="1"/>
        <c:tickLblPos val="nextTo"/>
        <c:spPr>
          <a:ln>
            <a:solidFill>
              <a:srgbClr val="4F81BD"/>
            </a:solidFill>
          </a:ln>
        </c:spPr>
        <c:txPr>
          <a:bodyPr rot="-2880000"/>
          <a:lstStyle/>
          <a:p>
            <a:pPr>
              <a:defRPr sz="700"/>
            </a:pPr>
            <a:endParaRPr lang="en-US"/>
          </a:p>
        </c:txPr>
        <c:crossAx val="157613440"/>
        <c:crossesAt val="-2"/>
        <c:auto val="1"/>
        <c:lblOffset val="100"/>
        <c:baseTimeUnit val="months"/>
        <c:majorUnit val="2"/>
        <c:majorTimeUnit val="months"/>
      </c:dateAx>
      <c:valAx>
        <c:axId val="157613440"/>
        <c:scaling>
          <c:orientation val="minMax"/>
          <c:max val="17.5"/>
          <c:min val="0"/>
        </c:scaling>
        <c:axPos val="l"/>
        <c:majorGridlines/>
        <c:numFmt formatCode="0.0" sourceLinked="0"/>
        <c:tickLblPos val="nextTo"/>
        <c:spPr>
          <a:ln>
            <a:solidFill>
              <a:schemeClr val="accent1"/>
            </a:solidFill>
          </a:ln>
        </c:spPr>
        <c:txPr>
          <a:bodyPr/>
          <a:lstStyle/>
          <a:p>
            <a:pPr>
              <a:defRPr sz="700"/>
            </a:pPr>
            <a:endParaRPr lang="en-US"/>
          </a:p>
        </c:txPr>
        <c:crossAx val="157611904"/>
        <c:crosses val="autoZero"/>
        <c:crossBetween val="between"/>
        <c:majorUnit val="2.5"/>
      </c:valAx>
    </c:plotArea>
    <c:legend>
      <c:legendPos val="b"/>
      <c:layout>
        <c:manualLayout>
          <c:xMode val="edge"/>
          <c:yMode val="edge"/>
          <c:x val="1.573531748734364E-2"/>
          <c:y val="0.90417428337355277"/>
          <c:w val="0.95651622813987469"/>
          <c:h val="8.8684614636335132E-2"/>
        </c:manualLayout>
      </c:layout>
      <c:txPr>
        <a:bodyPr/>
        <a:lstStyle/>
        <a:p>
          <a:pPr>
            <a:defRPr sz="600"/>
          </a:pPr>
          <a:endParaRPr lang="en-US"/>
        </a:p>
      </c:txP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0">
                <a:latin typeface="+mn-lt"/>
              </a:defRPr>
            </a:pPr>
            <a:r>
              <a:rPr lang="en-US" sz="800" b="1">
                <a:latin typeface="+mn-lt"/>
              </a:rPr>
              <a:t>Core</a:t>
            </a:r>
            <a:r>
              <a:rPr lang="en-US" sz="800" b="1" baseline="0">
                <a:latin typeface="+mn-lt"/>
              </a:rPr>
              <a:t> Inflation </a:t>
            </a:r>
          </a:p>
          <a:p>
            <a:pPr>
              <a:defRPr sz="800" b="0">
                <a:latin typeface="+mn-lt"/>
              </a:defRPr>
            </a:pPr>
            <a:r>
              <a:rPr lang="en-US" sz="800" b="1" baseline="0">
                <a:latin typeface="+mn-lt"/>
              </a:rPr>
              <a:t>(</a:t>
            </a:r>
            <a:r>
              <a:rPr lang="en-US" sz="800" b="1">
                <a:latin typeface="+mn-lt"/>
              </a:rPr>
              <a:t>30% Trimmed Mean)</a:t>
            </a:r>
          </a:p>
        </c:rich>
      </c:tx>
      <c:layout>
        <c:manualLayout>
          <c:xMode val="edge"/>
          <c:yMode val="edge"/>
          <c:x val="0.21272114853776944"/>
          <c:y val="3.7825755060265392E-4"/>
        </c:manualLayout>
      </c:layout>
    </c:title>
    <c:plotArea>
      <c:layout>
        <c:manualLayout>
          <c:layoutTarget val="inner"/>
          <c:xMode val="edge"/>
          <c:yMode val="edge"/>
          <c:x val="0.14833417138484936"/>
          <c:y val="0.11871974440530079"/>
          <c:w val="0.81898939509724888"/>
          <c:h val="0.61174822781020155"/>
        </c:manualLayout>
      </c:layout>
      <c:barChart>
        <c:barDir val="col"/>
        <c:grouping val="clustered"/>
        <c:ser>
          <c:idx val="0"/>
          <c:order val="0"/>
          <c:tx>
            <c:strRef>
              <c:f>'Y - to -Y'!$AE$1</c:f>
              <c:strCache>
                <c:ptCount val="1"/>
                <c:pt idx="0">
                  <c:v>30% trimmed mean</c:v>
                </c:pt>
              </c:strCache>
            </c:strRef>
          </c:tx>
          <c:spPr>
            <a:solidFill>
              <a:schemeClr val="bg2">
                <a:lumMod val="50000"/>
              </a:schemeClr>
            </a:solidFill>
            <a:ln>
              <a:solidFill>
                <a:srgbClr val="002060"/>
              </a:solidFill>
              <a:prstDash val="dash"/>
            </a:ln>
          </c:spPr>
          <c:cat>
            <c:numRef>
              <c:f>'Y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'Y - to -Y'!$AE$47:$AE$59</c:f>
              <c:numCache>
                <c:formatCode>0.00</c:formatCode>
                <c:ptCount val="13"/>
                <c:pt idx="0">
                  <c:v>3.0028329721483025</c:v>
                </c:pt>
                <c:pt idx="1">
                  <c:v>3.0427915643294345</c:v>
                </c:pt>
                <c:pt idx="2">
                  <c:v>2.5295108914113649</c:v>
                </c:pt>
                <c:pt idx="3">
                  <c:v>2.1448797157906072</c:v>
                </c:pt>
                <c:pt idx="4" formatCode="General">
                  <c:v>2.23</c:v>
                </c:pt>
                <c:pt idx="5" formatCode="General">
                  <c:v>3.2600000000000002</c:v>
                </c:pt>
                <c:pt idx="6" formatCode="General">
                  <c:v>3.46</c:v>
                </c:pt>
                <c:pt idx="7" formatCode="General">
                  <c:v>3.8899999999999997</c:v>
                </c:pt>
                <c:pt idx="8" formatCode="General">
                  <c:v>3.3499999999999988</c:v>
                </c:pt>
                <c:pt idx="9" formatCode="General">
                  <c:v>6.3599999999999985</c:v>
                </c:pt>
                <c:pt idx="10" formatCode="General">
                  <c:v>5.4700000000000024</c:v>
                </c:pt>
                <c:pt idx="11" formatCode="General">
                  <c:v>5.99</c:v>
                </c:pt>
                <c:pt idx="12" formatCode="General">
                  <c:v>5.28</c:v>
                </c:pt>
              </c:numCache>
            </c:numRef>
          </c:val>
          <c:extLst xmlns:c16r2="http://schemas.microsoft.com/office/drawing/2015/06/chart">
            <c:ext xmlns:c16="http://schemas.microsoft.com/office/drawing/2014/chart" uri="{C3380CC4-5D6E-409C-BE32-E72D297353CC}">
              <c16:uniqueId val="{00000000-E294-46FF-8C6F-41623A2D9C87}"/>
            </c:ext>
          </c:extLst>
        </c:ser>
        <c:axId val="157900160"/>
        <c:axId val="159409280"/>
      </c:barChart>
      <c:dateAx>
        <c:axId val="157900160"/>
        <c:scaling>
          <c:orientation val="minMax"/>
        </c:scaling>
        <c:axPos val="b"/>
        <c:numFmt formatCode="[$-409]mmm\-yy;@" sourceLinked="1"/>
        <c:tickLblPos val="nextTo"/>
        <c:spPr>
          <a:ln>
            <a:solidFill>
              <a:schemeClr val="tx1"/>
            </a:solidFill>
          </a:ln>
        </c:spPr>
        <c:txPr>
          <a:bodyPr rot="-3480000" vert="horz"/>
          <a:lstStyle/>
          <a:p>
            <a:pPr>
              <a:defRPr sz="700"/>
            </a:pPr>
            <a:endParaRPr lang="en-US"/>
          </a:p>
        </c:txPr>
        <c:crossAx val="159409280"/>
        <c:crossesAt val="0"/>
        <c:auto val="1"/>
        <c:lblOffset val="100"/>
        <c:baseTimeUnit val="months"/>
        <c:majorUnit val="2"/>
        <c:majorTimeUnit val="months"/>
        <c:minorUnit val="1"/>
        <c:minorTimeUnit val="months"/>
      </c:dateAx>
      <c:valAx>
        <c:axId val="159409280"/>
        <c:scaling>
          <c:orientation val="minMax"/>
          <c:max val="8"/>
          <c:min val="0"/>
        </c:scaling>
        <c:axPos val="l"/>
        <c:numFmt formatCode="0.0" sourceLinked="0"/>
        <c:tickLblPos val="nextTo"/>
        <c:txPr>
          <a:bodyPr/>
          <a:lstStyle/>
          <a:p>
            <a:pPr>
              <a:defRPr sz="800"/>
            </a:pPr>
            <a:endParaRPr lang="en-US"/>
          </a:p>
        </c:txPr>
        <c:crossAx val="157900160"/>
        <c:crosses val="autoZero"/>
        <c:crossBetween val="between"/>
        <c:majorUnit val="2"/>
      </c:valAx>
    </c:plotArea>
    <c:plotVisOnly val="1"/>
    <c:dispBlanksAs val="gap"/>
  </c:chart>
  <c:spPr>
    <a:solidFill>
      <a:sysClr val="window" lastClr="FFFFFF"/>
    </a:solidFill>
    <a:ln w="3175">
      <a:solidFill>
        <a:schemeClr val="tx1">
          <a:lumMod val="65000"/>
          <a:lumOff val="35000"/>
        </a:schemeClr>
      </a:solid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b="0">
                <a:latin typeface="+mn-lt"/>
              </a:defRPr>
            </a:pPr>
            <a:r>
              <a:rPr lang="en-US" sz="800" b="1" i="0" baseline="0"/>
              <a:t>CPI exc B&amp;C, O&amp;F, and T (Y-o-Y)</a:t>
            </a:r>
          </a:p>
        </c:rich>
      </c:tx>
      <c:layout>
        <c:manualLayout>
          <c:xMode val="edge"/>
          <c:yMode val="edge"/>
          <c:x val="0.13871486172924041"/>
          <c:y val="2.1407622960174618E-2"/>
        </c:manualLayout>
      </c:layout>
    </c:title>
    <c:plotArea>
      <c:layout>
        <c:manualLayout>
          <c:layoutTarget val="inner"/>
          <c:xMode val="edge"/>
          <c:yMode val="edge"/>
          <c:x val="0.17344992202061699"/>
          <c:y val="0.15687435809654229"/>
          <c:w val="0.75606972545907836"/>
          <c:h val="0.49141921799813881"/>
        </c:manualLayout>
      </c:layout>
      <c:barChart>
        <c:barDir val="col"/>
        <c:grouping val="clustered"/>
        <c:ser>
          <c:idx val="1"/>
          <c:order val="1"/>
          <c:tx>
            <c:strRef>
              <c:f>'Y - to -Y'!$AA$1</c:f>
            </c:strRef>
          </c:tx>
          <c:spPr>
            <a:solidFill>
              <a:schemeClr val="bg1">
                <a:lumMod val="50000"/>
              </a:schemeClr>
            </a:solidFill>
            <a:ln w="31750">
              <a:solidFill>
                <a:schemeClr val="tx2">
                  <a:lumMod val="40000"/>
                  <a:lumOff val="60000"/>
                </a:schemeClr>
              </a:solidFill>
              <a:prstDash val="sysDot"/>
            </a:ln>
          </c:spPr>
          <c:cat>
            <c:multiLvlStrRef>
              <c:f>'Y - to -Y'!$A$41:$A$53</c:f>
            </c:multiLvlStrRef>
          </c:cat>
          <c:val>
            <c:numRef>
              <c:f>'Y - to -Y'!$AA$41:$AA$53</c:f>
            </c:numRef>
          </c:val>
          <c:extLst xmlns:c16r2="http://schemas.microsoft.com/office/drawing/2015/06/chart">
            <c:ext xmlns:c16="http://schemas.microsoft.com/office/drawing/2014/chart" uri="{C3380CC4-5D6E-409C-BE32-E72D297353CC}">
              <c16:uniqueId val="{00000000-6F13-4E95-B2D6-5E4DF232BEB1}"/>
            </c:ext>
          </c:extLst>
        </c:ser>
        <c:ser>
          <c:idx val="0"/>
          <c:order val="0"/>
          <c:tx>
            <c:strRef>
              <c:f>'[Copy of گرافها.xlsx]Y - to -Y'!$AA$1</c:f>
              <c:strCache>
                <c:ptCount val="1"/>
                <c:pt idx="0">
                  <c:v>CPI ex. B &amp; C, O &amp; F, and T</c:v>
                </c:pt>
              </c:strCache>
            </c:strRef>
          </c:tx>
          <c:spPr>
            <a:solidFill>
              <a:schemeClr val="bg1">
                <a:lumMod val="50000"/>
              </a:schemeClr>
            </a:solidFill>
            <a:ln w="31750">
              <a:solidFill>
                <a:schemeClr val="tx2">
                  <a:lumMod val="40000"/>
                  <a:lumOff val="60000"/>
                </a:schemeClr>
              </a:solidFill>
              <a:prstDash val="sysDot"/>
            </a:ln>
          </c:spP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-Y'!$AA$47:$AA$59</c:f>
              <c:numCache>
                <c:formatCode>0.00</c:formatCode>
                <c:ptCount val="13"/>
                <c:pt idx="0">
                  <c:v>2.1963062265394582</c:v>
                </c:pt>
                <c:pt idx="1">
                  <c:v>2.9812294405004112</c:v>
                </c:pt>
                <c:pt idx="2">
                  <c:v>1.9258933336702144</c:v>
                </c:pt>
                <c:pt idx="3">
                  <c:v>1.6614805493857776</c:v>
                </c:pt>
                <c:pt idx="4">
                  <c:v>1.798950317201764</c:v>
                </c:pt>
                <c:pt idx="5">
                  <c:v>3.4780146309166797</c:v>
                </c:pt>
                <c:pt idx="6">
                  <c:v>4.22</c:v>
                </c:pt>
                <c:pt idx="7">
                  <c:v>4.05</c:v>
                </c:pt>
                <c:pt idx="8">
                  <c:v>3.1</c:v>
                </c:pt>
                <c:pt idx="9">
                  <c:v>7.84</c:v>
                </c:pt>
                <c:pt idx="10">
                  <c:v>4.8199999999999985</c:v>
                </c:pt>
                <c:pt idx="11">
                  <c:v>4.6099999999999985</c:v>
                </c:pt>
                <c:pt idx="12">
                  <c:v>5.23</c:v>
                </c:pt>
              </c:numCache>
            </c:numRef>
          </c:val>
          <c:extLst xmlns:c16r2="http://schemas.microsoft.com/office/drawing/2015/06/chart">
            <c:ext xmlns:c16="http://schemas.microsoft.com/office/drawing/2014/chart" uri="{C3380CC4-5D6E-409C-BE32-E72D297353CC}">
              <c16:uniqueId val="{00000001-6F13-4E95-B2D6-5E4DF232BEB1}"/>
            </c:ext>
          </c:extLst>
        </c:ser>
        <c:axId val="159438720"/>
        <c:axId val="159440256"/>
      </c:barChart>
      <c:dateAx>
        <c:axId val="159438720"/>
        <c:scaling>
          <c:orientation val="minMax"/>
        </c:scaling>
        <c:axPos val="b"/>
        <c:numFmt formatCode="[$-409]mmm\-yy;@" sourceLinked="1"/>
        <c:tickLblPos val="nextTo"/>
        <c:spPr>
          <a:ln>
            <a:solidFill>
              <a:schemeClr val="tx1"/>
            </a:solidFill>
          </a:ln>
        </c:spPr>
        <c:txPr>
          <a:bodyPr rot="-2700000" vert="horz"/>
          <a:lstStyle/>
          <a:p>
            <a:pPr>
              <a:defRPr sz="700"/>
            </a:pPr>
            <a:endParaRPr lang="en-US"/>
          </a:p>
        </c:txPr>
        <c:crossAx val="159440256"/>
        <c:crossesAt val="-2.5"/>
        <c:auto val="1"/>
        <c:lblOffset val="100"/>
        <c:baseTimeUnit val="months"/>
        <c:majorUnit val="2"/>
        <c:majorTimeUnit val="months"/>
        <c:minorUnit val="1"/>
        <c:minorTimeUnit val="months"/>
      </c:dateAx>
      <c:valAx>
        <c:axId val="159440256"/>
        <c:scaling>
          <c:orientation val="minMax"/>
          <c:max val="9"/>
          <c:min val="1"/>
        </c:scaling>
        <c:axPos val="l"/>
        <c:majorGridlines/>
        <c:numFmt formatCode="0.0" sourceLinked="0"/>
        <c:tickLblPos val="nextTo"/>
        <c:txPr>
          <a:bodyPr/>
          <a:lstStyle/>
          <a:p>
            <a:pPr>
              <a:defRPr sz="800"/>
            </a:pPr>
            <a:endParaRPr lang="en-US"/>
          </a:p>
        </c:txPr>
        <c:crossAx val="159438720"/>
        <c:crosses val="autoZero"/>
        <c:crossBetween val="between"/>
        <c:majorUnit val="2"/>
      </c:valAx>
    </c:plotArea>
    <c:plotVisOnly val="1"/>
    <c:dispBlanksAs val="gap"/>
  </c:chart>
  <c:spPr>
    <a:solidFill>
      <a:sysClr val="window" lastClr="FFFFFF"/>
    </a:solidFill>
    <a:ln w="3175">
      <a:solidFill>
        <a:schemeClr val="tx1">
          <a:lumMod val="65000"/>
          <a:lumOff val="35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b="1" i="0" baseline="0"/>
              <a:t>Headline Inflation (M-to-M)</a:t>
            </a:r>
          </a:p>
        </c:rich>
      </c:tx>
      <c:layout>
        <c:manualLayout>
          <c:xMode val="edge"/>
          <c:yMode val="edge"/>
          <c:x val="0.29417087074415726"/>
          <c:y val="3.4642024082957981E-2"/>
        </c:manualLayout>
      </c:layout>
    </c:title>
    <c:plotArea>
      <c:layout>
        <c:manualLayout>
          <c:layoutTarget val="inner"/>
          <c:xMode val="edge"/>
          <c:yMode val="edge"/>
          <c:x val="0.20224653557913053"/>
          <c:y val="0.17054739051960094"/>
          <c:w val="0.74152286465464845"/>
          <c:h val="0.59223287098721056"/>
        </c:manualLayout>
      </c:layout>
      <c:barChart>
        <c:barDir val="col"/>
        <c:grouping val="clustered"/>
        <c:ser>
          <c:idx val="1"/>
          <c:order val="1"/>
          <c:tx>
            <c:strRef>
              <c:f>'M- to -M'!$B$1</c:f>
            </c:strRef>
          </c:tx>
          <c:cat>
            <c:multiLvlStrRef>
              <c:f>'M- to -M'!$A$30:$A$42</c:f>
            </c:multiLvlStrRef>
          </c:cat>
          <c:val>
            <c:numRef>
              <c:f>'M- to -M'!$B$30:$B$42</c:f>
            </c:numRef>
          </c:val>
          <c:extLst xmlns:c16r2="http://schemas.microsoft.com/office/drawing/2015/06/chart">
            <c:ext xmlns:c16="http://schemas.microsoft.com/office/drawing/2014/chart" uri="{C3380CC4-5D6E-409C-BE32-E72D297353CC}">
              <c16:uniqueId val="{00000000-DF7A-4905-80A1-7D821A8DAC41}"/>
            </c:ext>
          </c:extLst>
        </c:ser>
        <c:ser>
          <c:idx val="0"/>
          <c:order val="0"/>
          <c:tx>
            <c:strRef>
              <c:f>'[Copy of گرافها.xlsx]M- to -M'!$B$1</c:f>
              <c:strCache>
                <c:ptCount val="1"/>
                <c:pt idx="0">
                  <c:v>Overall Index</c:v>
                </c:pt>
              </c:strCache>
            </c:strRef>
          </c:tx>
          <c:spPr>
            <a:solidFill>
              <a:srgbClr val="7070F4">
                <a:alpha val="75000"/>
              </a:srgbClr>
            </a:solidFill>
            <a:ln>
              <a:solidFill>
                <a:srgbClr val="A50021"/>
              </a:solidFill>
            </a:ln>
          </c:spPr>
          <c:cat>
            <c:numRef>
              <c:f>'[Copy of گرافها.xlsx]M- to -M'!$A$36:$A$48</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گرافها.xlsx]M- to -M'!$B$36:$B$48</c:f>
              <c:numCache>
                <c:formatCode>0.00</c:formatCode>
                <c:ptCount val="13"/>
                <c:pt idx="0">
                  <c:v>-1.0835223119573738</c:v>
                </c:pt>
                <c:pt idx="1">
                  <c:v>9.185694046944827E-2</c:v>
                </c:pt>
                <c:pt idx="2">
                  <c:v>-0.66487277189182203</c:v>
                </c:pt>
                <c:pt idx="3">
                  <c:v>0.23804202568329391</c:v>
                </c:pt>
                <c:pt idx="4">
                  <c:v>0.75646636459516459</c:v>
                </c:pt>
                <c:pt idx="5">
                  <c:v>1.6896821908605881</c:v>
                </c:pt>
                <c:pt idx="6">
                  <c:v>1.07</c:v>
                </c:pt>
                <c:pt idx="7">
                  <c:v>-0.54</c:v>
                </c:pt>
                <c:pt idx="8">
                  <c:v>0.20180000000000001</c:v>
                </c:pt>
                <c:pt idx="9">
                  <c:v>6.6199999999999966</c:v>
                </c:pt>
                <c:pt idx="10">
                  <c:v>-1.149999999999997</c:v>
                </c:pt>
                <c:pt idx="11">
                  <c:v>-0.81</c:v>
                </c:pt>
                <c:pt idx="12">
                  <c:v>-1.1100000000000001</c:v>
                </c:pt>
              </c:numCache>
            </c:numRef>
          </c:val>
          <c:extLst xmlns:c16r2="http://schemas.microsoft.com/office/drawing/2015/06/chart">
            <c:ext xmlns:c16="http://schemas.microsoft.com/office/drawing/2014/chart" uri="{C3380CC4-5D6E-409C-BE32-E72D297353CC}">
              <c16:uniqueId val="{00000001-DF7A-4905-80A1-7D821A8DAC41}"/>
            </c:ext>
          </c:extLst>
        </c:ser>
        <c:gapWidth val="118"/>
        <c:axId val="148986880"/>
        <c:axId val="149000960"/>
      </c:barChart>
      <c:dateAx>
        <c:axId val="148986880"/>
        <c:scaling>
          <c:orientation val="minMax"/>
        </c:scaling>
        <c:axPos val="b"/>
        <c:numFmt formatCode="[$-409]mmm\-yy;@" sourceLinked="1"/>
        <c:tickLblPos val="nextTo"/>
        <c:txPr>
          <a:bodyPr rot="-2700000"/>
          <a:lstStyle/>
          <a:p>
            <a:pPr>
              <a:defRPr sz="700"/>
            </a:pPr>
            <a:endParaRPr lang="en-US"/>
          </a:p>
        </c:txPr>
        <c:crossAx val="149000960"/>
        <c:crossesAt val="-1.5"/>
        <c:auto val="1"/>
        <c:lblOffset val="100"/>
        <c:baseTimeUnit val="months"/>
        <c:majorUnit val="2"/>
        <c:majorTimeUnit val="months"/>
      </c:dateAx>
      <c:valAx>
        <c:axId val="149000960"/>
        <c:scaling>
          <c:orientation val="minMax"/>
          <c:max val="9.5"/>
          <c:min val="-1.5"/>
        </c:scaling>
        <c:axPos val="l"/>
        <c:majorGridlines/>
        <c:numFmt formatCode="0.0" sourceLinked="0"/>
        <c:tickLblPos val="nextTo"/>
        <c:txPr>
          <a:bodyPr rot="0" vert="horz"/>
          <a:lstStyle/>
          <a:p>
            <a:pPr>
              <a:defRPr sz="700"/>
            </a:pPr>
            <a:endParaRPr lang="en-US"/>
          </a:p>
        </c:txPr>
        <c:crossAx val="148986880"/>
        <c:crosses val="autoZero"/>
        <c:crossBetween val="between"/>
        <c:majorUnit val="1"/>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00"/>
            </a:pPr>
            <a:r>
              <a:rPr lang="en-US" sz="800"/>
              <a:t>Food inflation (Y-o-Y)</a:t>
            </a:r>
          </a:p>
        </c:rich>
      </c:tx>
      <c:layout>
        <c:manualLayout>
          <c:xMode val="edge"/>
          <c:yMode val="edge"/>
          <c:x val="0.29294201793708902"/>
          <c:y val="3.5507812704890236E-2"/>
        </c:manualLayout>
      </c:layout>
    </c:title>
    <c:plotArea>
      <c:layout>
        <c:manualLayout>
          <c:layoutTarget val="inner"/>
          <c:xMode val="edge"/>
          <c:yMode val="edge"/>
          <c:x val="0.16636840199798147"/>
          <c:y val="0.19516682793549506"/>
          <c:w val="0.73214115767899357"/>
          <c:h val="0.43521209908923447"/>
        </c:manualLayout>
      </c:layout>
      <c:barChart>
        <c:barDir val="col"/>
        <c:grouping val="clustered"/>
        <c:ser>
          <c:idx val="2"/>
          <c:order val="2"/>
          <c:tx>
            <c:strRef>
              <c:f>'Y - to -Y'!$B$1</c:f>
            </c:strRef>
          </c:tx>
          <c:spPr>
            <a:solidFill>
              <a:schemeClr val="bg2">
                <a:lumMod val="50000"/>
              </a:schemeClr>
            </a:solidFill>
            <a:ln>
              <a:solidFill>
                <a:srgbClr val="7030A0"/>
              </a:solidFill>
            </a:ln>
          </c:spPr>
          <c:cat>
            <c:multiLvlStrRef>
              <c:f>'Y - to -Y'!$A$41:$A$53</c:f>
            </c:multiLvlStrRef>
          </c:cat>
          <c:val>
            <c:numRef>
              <c:f>'Y - to -Y'!$B$41:$B$53</c:f>
            </c:numRef>
          </c:val>
          <c:extLst xmlns:c16r2="http://schemas.microsoft.com/office/drawing/2015/06/chart">
            <c:ext xmlns:c16="http://schemas.microsoft.com/office/drawing/2014/chart" uri="{C3380CC4-5D6E-409C-BE32-E72D297353CC}">
              <c16:uniqueId val="{00000000-AAB1-43B8-99B5-01E5675852EF}"/>
            </c:ext>
          </c:extLst>
        </c:ser>
        <c:ser>
          <c:idx val="3"/>
          <c:order val="3"/>
          <c:tx>
            <c:strRef>
              <c:f>'Y - to -Y'!$C$1</c:f>
            </c:strRef>
          </c:tx>
          <c:spPr>
            <a:ln w="22225">
              <a:solidFill>
                <a:srgbClr val="C00000"/>
              </a:solidFill>
            </a:ln>
          </c:spPr>
          <c:cat>
            <c:multiLvlStrRef>
              <c:f>'Y - to -Y'!$A$41:$A$53</c:f>
            </c:multiLvlStrRef>
          </c:cat>
          <c:val>
            <c:numRef>
              <c:f>'Y - to -Y'!$C$41:$C$53</c:f>
            </c:numRef>
          </c:val>
          <c:extLst xmlns:c16r2="http://schemas.microsoft.com/office/drawing/2015/06/chart">
            <c:ext xmlns:c16="http://schemas.microsoft.com/office/drawing/2014/chart" uri="{C3380CC4-5D6E-409C-BE32-E72D297353CC}">
              <c16:uniqueId val="{00000001-AAB1-43B8-99B5-01E5675852EF}"/>
            </c:ext>
          </c:extLst>
        </c:ser>
        <c:ser>
          <c:idx val="4"/>
          <c:order val="4"/>
          <c:tx>
            <c:strRef>
              <c:f>'[Copy of گرافها.xlsx]Y - to -Y'!$B$1</c:f>
            </c:strRef>
          </c:tx>
          <c:spPr>
            <a:solidFill>
              <a:schemeClr val="bg2">
                <a:lumMod val="50000"/>
              </a:schemeClr>
            </a:solidFill>
            <a:ln>
              <a:solidFill>
                <a:srgbClr val="7030A0"/>
              </a:solidFill>
            </a:ln>
          </c:spPr>
          <c:cat>
            <c:multiLvlStrRef>
              <c:f>'[Copy of گرافها.xlsx]Y - to -Y'!$A$47:$A$59</c:f>
            </c:multiLvlStrRef>
          </c:cat>
          <c:val>
            <c:numRef>
              <c:f>'[Copy of گرافها.xlsx]Y - to -Y'!$B$47:$B$59</c:f>
            </c:numRef>
          </c:val>
          <c:extLst xmlns:c16r2="http://schemas.microsoft.com/office/drawing/2015/06/chart">
            <c:ext xmlns:c16="http://schemas.microsoft.com/office/drawing/2014/chart" uri="{C3380CC4-5D6E-409C-BE32-E72D297353CC}">
              <c16:uniqueId val="{00000002-AAB1-43B8-99B5-01E5675852EF}"/>
            </c:ext>
          </c:extLst>
        </c:ser>
        <c:ser>
          <c:idx val="5"/>
          <c:order val="5"/>
          <c:tx>
            <c:strRef>
              <c:f>'[Copy of گرافها.xlsx]Y - to -Y'!$C$1</c:f>
            </c:strRef>
          </c:tx>
          <c:spPr>
            <a:ln w="22225">
              <a:solidFill>
                <a:srgbClr val="C00000"/>
              </a:solidFill>
            </a:ln>
          </c:spPr>
          <c:cat>
            <c:multiLvlStrRef>
              <c:f>'[Copy of گرافها.xlsx]Y - to -Y'!$A$47:$A$59</c:f>
            </c:multiLvlStrRef>
          </c:cat>
          <c:val>
            <c:numRef>
              <c:f>'[Copy of گرافها.xlsx]Y - to -Y'!$C$47:$C$59</c:f>
            </c:numRef>
          </c:val>
          <c:extLst xmlns:c16r2="http://schemas.microsoft.com/office/drawing/2015/06/chart">
            <c:ext xmlns:c16="http://schemas.microsoft.com/office/drawing/2014/chart" uri="{C3380CC4-5D6E-409C-BE32-E72D297353CC}">
              <c16:uniqueId val="{00000003-AAB1-43B8-99B5-01E5675852EF}"/>
            </c:ext>
          </c:extLst>
        </c:ser>
        <c:ser>
          <c:idx val="0"/>
          <c:order val="0"/>
          <c:tx>
            <c:strRef>
              <c:f>'[Copy of گرافها.xlsx]Y - to -Y'!$B$1</c:f>
              <c:strCache>
                <c:ptCount val="1"/>
                <c:pt idx="0">
                  <c:v>Overall Index</c:v>
                </c:pt>
              </c:strCache>
            </c:strRef>
          </c:tx>
          <c:spPr>
            <a:solidFill>
              <a:schemeClr val="bg2">
                <a:lumMod val="50000"/>
              </a:schemeClr>
            </a:solidFill>
            <a:ln>
              <a:solidFill>
                <a:srgbClr val="7030A0"/>
              </a:solidFill>
            </a:ln>
          </c:spP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-Y'!$B$47:$B$59</c:f>
              <c:numCache>
                <c:formatCode>0.00</c:formatCode>
                <c:ptCount val="13"/>
                <c:pt idx="0">
                  <c:v>2.7672467239067799</c:v>
                </c:pt>
                <c:pt idx="1">
                  <c:v>2.9238702923755082</c:v>
                </c:pt>
                <c:pt idx="2">
                  <c:v>1.8484772791760986</c:v>
                </c:pt>
                <c:pt idx="3">
                  <c:v>1.1203754575225933</c:v>
                </c:pt>
                <c:pt idx="4">
                  <c:v>1.222375883693894</c:v>
                </c:pt>
                <c:pt idx="5">
                  <c:v>2.7725783977994971</c:v>
                </c:pt>
                <c:pt idx="6">
                  <c:v>3.75</c:v>
                </c:pt>
                <c:pt idx="7">
                  <c:v>3.84</c:v>
                </c:pt>
                <c:pt idx="8">
                  <c:v>3.02</c:v>
                </c:pt>
                <c:pt idx="9">
                  <c:v>8.67</c:v>
                </c:pt>
                <c:pt idx="10">
                  <c:v>6.26</c:v>
                </c:pt>
                <c:pt idx="11">
                  <c:v>6.3599999999999985</c:v>
                </c:pt>
                <c:pt idx="12">
                  <c:v>6.33</c:v>
                </c:pt>
              </c:numCache>
            </c:numRef>
          </c:val>
          <c:extLst xmlns:c16r2="http://schemas.microsoft.com/office/drawing/2015/06/chart">
            <c:ext xmlns:c16="http://schemas.microsoft.com/office/drawing/2014/chart" uri="{C3380CC4-5D6E-409C-BE32-E72D297353CC}">
              <c16:uniqueId val="{00000004-AAB1-43B8-99B5-01E5675852EF}"/>
            </c:ext>
          </c:extLst>
        </c:ser>
        <c:overlap val="79"/>
        <c:axId val="149199488"/>
        <c:axId val="149213568"/>
      </c:barChart>
      <c:lineChart>
        <c:grouping val="stacked"/>
        <c:ser>
          <c:idx val="1"/>
          <c:order val="1"/>
          <c:tx>
            <c:strRef>
              <c:f>'[Copy of گرافها.xlsx]Y - to -Y'!$C$1</c:f>
              <c:strCache>
                <c:ptCount val="1"/>
                <c:pt idx="0">
                  <c:v>Food &amp; Non-Alcoholic   Beverages</c:v>
                </c:pt>
              </c:strCache>
            </c:strRef>
          </c:tx>
          <c:spPr>
            <a:ln w="22225">
              <a:solidFill>
                <a:srgbClr val="C00000"/>
              </a:solidFill>
            </a:ln>
          </c:spPr>
          <c:marker>
            <c:symbol val="none"/>
          </c:marke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-Y'!$C$47:$C$59</c:f>
              <c:numCache>
                <c:formatCode>0.00</c:formatCode>
                <c:ptCount val="13"/>
                <c:pt idx="0">
                  <c:v>4.7053194200902038</c:v>
                </c:pt>
                <c:pt idx="1">
                  <c:v>5.282653251880709</c:v>
                </c:pt>
                <c:pt idx="2">
                  <c:v>4.1330092970838725</c:v>
                </c:pt>
                <c:pt idx="3">
                  <c:v>2.8461779080285021</c:v>
                </c:pt>
                <c:pt idx="4">
                  <c:v>3.2925741755337907</c:v>
                </c:pt>
                <c:pt idx="5">
                  <c:v>4.9146244104667485</c:v>
                </c:pt>
                <c:pt idx="6">
                  <c:v>5.99</c:v>
                </c:pt>
                <c:pt idx="7">
                  <c:v>6.4300000000000024</c:v>
                </c:pt>
                <c:pt idx="8">
                  <c:v>5.07</c:v>
                </c:pt>
                <c:pt idx="9">
                  <c:v>16.559999999999999</c:v>
                </c:pt>
                <c:pt idx="10">
                  <c:v>12.92</c:v>
                </c:pt>
                <c:pt idx="11">
                  <c:v>12.88</c:v>
                </c:pt>
                <c:pt idx="12">
                  <c:v>12.71</c:v>
                </c:pt>
              </c:numCache>
            </c:numRef>
          </c:val>
          <c:extLst xmlns:c16r2="http://schemas.microsoft.com/office/drawing/2015/06/chart">
            <c:ext xmlns:c16="http://schemas.microsoft.com/office/drawing/2014/chart" uri="{C3380CC4-5D6E-409C-BE32-E72D297353CC}">
              <c16:uniqueId val="{00000005-AAB1-43B8-99B5-01E5675852EF}"/>
            </c:ext>
          </c:extLst>
        </c:ser>
        <c:marker val="1"/>
        <c:axId val="149199488"/>
        <c:axId val="149213568"/>
      </c:lineChart>
      <c:dateAx>
        <c:axId val="149199488"/>
        <c:scaling>
          <c:orientation val="minMax"/>
        </c:scaling>
        <c:axPos val="b"/>
        <c:numFmt formatCode="[$-409]mmm\-yy;@" sourceLinked="1"/>
        <c:tickLblPos val="nextTo"/>
        <c:spPr>
          <a:ln>
            <a:solidFill>
              <a:srgbClr val="4149E9">
                <a:alpha val="96000"/>
              </a:srgbClr>
            </a:solidFill>
          </a:ln>
        </c:spPr>
        <c:txPr>
          <a:bodyPr rot="-2040000" vert="horz"/>
          <a:lstStyle/>
          <a:p>
            <a:pPr>
              <a:defRPr sz="700"/>
            </a:pPr>
            <a:endParaRPr lang="en-US"/>
          </a:p>
        </c:txPr>
        <c:crossAx val="149213568"/>
        <c:crossesAt val="-1"/>
        <c:auto val="1"/>
        <c:lblOffset val="100"/>
        <c:baseTimeUnit val="months"/>
      </c:dateAx>
      <c:valAx>
        <c:axId val="149213568"/>
        <c:scaling>
          <c:orientation val="minMax"/>
          <c:max val="18"/>
          <c:min val="0"/>
        </c:scaling>
        <c:axPos val="l"/>
        <c:majorGridlines/>
        <c:numFmt formatCode="0.0" sourceLinked="0"/>
        <c:tickLblPos val="nextTo"/>
        <c:spPr>
          <a:ln>
            <a:solidFill>
              <a:srgbClr val="4149E9"/>
            </a:solidFill>
          </a:ln>
        </c:spPr>
        <c:crossAx val="149199488"/>
        <c:crosses val="autoZero"/>
        <c:crossBetween val="between"/>
        <c:majorUnit val="3"/>
      </c:valAx>
      <c:spPr>
        <a:ln>
          <a:prstDash val="solid"/>
        </a:ln>
      </c:spPr>
    </c:plotArea>
    <c:legend>
      <c:legendPos val="b"/>
      <c:legendEntry>
        <c:idx val="0"/>
        <c:delete val="1"/>
      </c:legendEntry>
      <c:legendEntry>
        <c:idx val="1"/>
        <c:delete val="1"/>
      </c:legendEntry>
      <c:layout>
        <c:manualLayout>
          <c:xMode val="edge"/>
          <c:yMode val="edge"/>
          <c:x val="0.10127711975925816"/>
          <c:y val="0.80034854668137223"/>
          <c:w val="0.85527358937789311"/>
          <c:h val="0.15877093195356745"/>
        </c:manualLayout>
      </c:layout>
      <c:txPr>
        <a:bodyPr/>
        <a:lstStyle/>
        <a:p>
          <a:pPr>
            <a:defRPr sz="600"/>
          </a:pPr>
          <a:endParaRPr lang="en-US"/>
        </a:p>
      </c:txPr>
    </c:legend>
    <c:plotVisOnly val="1"/>
    <c:dispBlanksAs val="zero"/>
  </c:chart>
  <c:spPr>
    <a:ln w="12700"/>
  </c:spPr>
  <c:txPr>
    <a:bodyPr/>
    <a:lstStyle/>
    <a:p>
      <a:pPr>
        <a:defRPr sz="700"/>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b="1" i="0" baseline="0"/>
              <a:t>  Food inflation (M-to-M)</a:t>
            </a:r>
          </a:p>
        </c:rich>
      </c:tx>
      <c:layout>
        <c:manualLayout>
          <c:xMode val="edge"/>
          <c:yMode val="edge"/>
          <c:x val="0.31436784167937443"/>
          <c:y val="5.6703359841213941E-3"/>
        </c:manualLayout>
      </c:layout>
      <c:overlay val="1"/>
    </c:title>
    <c:plotArea>
      <c:layout>
        <c:manualLayout>
          <c:layoutTarget val="inner"/>
          <c:xMode val="edge"/>
          <c:yMode val="edge"/>
          <c:x val="0.10679427863919436"/>
          <c:y val="0.13928715081845044"/>
          <c:w val="0.86394494441380298"/>
          <c:h val="0.4964897654047169"/>
        </c:manualLayout>
      </c:layout>
      <c:barChart>
        <c:barDir val="col"/>
        <c:grouping val="clustered"/>
        <c:ser>
          <c:idx val="0"/>
          <c:order val="0"/>
          <c:tx>
            <c:strRef>
              <c:f>'M- to -M'!$B$1</c:f>
              <c:strCache>
                <c:ptCount val="1"/>
                <c:pt idx="0">
                  <c:v>Overall Index</c:v>
                </c:pt>
              </c:strCache>
            </c:strRef>
          </c:tx>
          <c:spPr>
            <a:solidFill>
              <a:schemeClr val="bg2">
                <a:lumMod val="50000"/>
              </a:schemeClr>
            </a:solidFill>
            <a:ln>
              <a:solidFill>
                <a:srgbClr val="7167F5"/>
              </a:solidFill>
            </a:ln>
          </c:spPr>
          <c:cat>
            <c:numRef>
              <c:f>'M- to -M'!$A$36:$A$48</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'M- to -M'!$B$36:$B$48</c:f>
              <c:numCache>
                <c:formatCode>0.00</c:formatCode>
                <c:ptCount val="13"/>
                <c:pt idx="0">
                  <c:v>-1.083522311957374</c:v>
                </c:pt>
                <c:pt idx="1">
                  <c:v>9.1856940469448048E-2</c:v>
                </c:pt>
                <c:pt idx="2">
                  <c:v>-0.66487277189182203</c:v>
                </c:pt>
                <c:pt idx="3">
                  <c:v>0.23804202568329386</c:v>
                </c:pt>
                <c:pt idx="4">
                  <c:v>0.75646636459516503</c:v>
                </c:pt>
                <c:pt idx="5">
                  <c:v>1.6896821908605868</c:v>
                </c:pt>
                <c:pt idx="6">
                  <c:v>1.07</c:v>
                </c:pt>
                <c:pt idx="7">
                  <c:v>-0.54</c:v>
                </c:pt>
                <c:pt idx="8">
                  <c:v>0.20180000000000001</c:v>
                </c:pt>
                <c:pt idx="9">
                  <c:v>6.6199999999999983</c:v>
                </c:pt>
                <c:pt idx="10">
                  <c:v>-1.1499999999999995</c:v>
                </c:pt>
                <c:pt idx="11">
                  <c:v>-0.81</c:v>
                </c:pt>
                <c:pt idx="12">
                  <c:v>-1.1100000000000001</c:v>
                </c:pt>
              </c:numCache>
            </c:numRef>
          </c:val>
          <c:extLst xmlns:c16r2="http://schemas.microsoft.com/office/drawing/2015/06/chart">
            <c:ext xmlns:c16="http://schemas.microsoft.com/office/drawing/2014/chart" uri="{C3380CC4-5D6E-409C-BE32-E72D297353CC}">
              <c16:uniqueId val="{00000000-3905-4AF1-B483-4A5E9C22B546}"/>
            </c:ext>
          </c:extLst>
        </c:ser>
        <c:axId val="111729280"/>
        <c:axId val="149307776"/>
      </c:barChart>
      <c:lineChart>
        <c:grouping val="stacked"/>
        <c:ser>
          <c:idx val="1"/>
          <c:order val="1"/>
          <c:tx>
            <c:strRef>
              <c:f>'Y - to -Y'!$C$1</c:f>
              <c:strCache>
                <c:ptCount val="1"/>
                <c:pt idx="0">
                  <c:v>Food &amp; Non-Alcoholic   Beverages</c:v>
                </c:pt>
              </c:strCache>
            </c:strRef>
          </c:tx>
          <c:spPr>
            <a:ln>
              <a:solidFill>
                <a:schemeClr val="accent3">
                  <a:lumMod val="75000"/>
                </a:schemeClr>
              </a:solidFill>
            </a:ln>
          </c:spPr>
          <c:marker>
            <c:symbol val="none"/>
          </c:marker>
          <c:cat>
            <c:numRef>
              <c:f>'M- to -M'!$A$36:$A$48</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'M- to -M'!$C$36:$C$48</c:f>
              <c:numCache>
                <c:formatCode>0.00</c:formatCode>
                <c:ptCount val="13"/>
                <c:pt idx="0">
                  <c:v>-1.6636808036335831</c:v>
                </c:pt>
                <c:pt idx="1">
                  <c:v>0.83000000000000018</c:v>
                </c:pt>
                <c:pt idx="2">
                  <c:v>-0.58000000000000007</c:v>
                </c:pt>
                <c:pt idx="3">
                  <c:v>0.18000000000000005</c:v>
                </c:pt>
                <c:pt idx="4">
                  <c:v>1.1399999999999995</c:v>
                </c:pt>
                <c:pt idx="5">
                  <c:v>2.4639737249859026</c:v>
                </c:pt>
                <c:pt idx="6">
                  <c:v>1.52</c:v>
                </c:pt>
                <c:pt idx="7">
                  <c:v>2.0000000000000007E-2</c:v>
                </c:pt>
                <c:pt idx="8">
                  <c:v>0.63000000000000023</c:v>
                </c:pt>
                <c:pt idx="9">
                  <c:v>12.450000000000003</c:v>
                </c:pt>
                <c:pt idx="10">
                  <c:v>-1.74</c:v>
                </c:pt>
                <c:pt idx="11">
                  <c:v>-1.87</c:v>
                </c:pt>
                <c:pt idx="12">
                  <c:v>-1.81</c:v>
                </c:pt>
              </c:numCache>
            </c:numRef>
          </c:val>
          <c:extLst xmlns:c16r2="http://schemas.microsoft.com/office/drawing/2015/06/chart">
            <c:ext xmlns:c16="http://schemas.microsoft.com/office/drawing/2014/chart" uri="{C3380CC4-5D6E-409C-BE32-E72D297353CC}">
              <c16:uniqueId val="{00000001-3905-4AF1-B483-4A5E9C22B546}"/>
            </c:ext>
          </c:extLst>
        </c:ser>
        <c:marker val="1"/>
        <c:axId val="111729280"/>
        <c:axId val="149307776"/>
      </c:lineChart>
      <c:dateAx>
        <c:axId val="111729280"/>
        <c:scaling>
          <c:orientation val="minMax"/>
        </c:scaling>
        <c:axPos val="b"/>
        <c:numFmt formatCode="[$-409]mmm\-yy;@" sourceLinked="1"/>
        <c:tickLblPos val="nextTo"/>
        <c:txPr>
          <a:bodyPr rot="-2100000"/>
          <a:lstStyle/>
          <a:p>
            <a:pPr>
              <a:defRPr sz="700"/>
            </a:pPr>
            <a:endParaRPr lang="en-US"/>
          </a:p>
        </c:txPr>
        <c:crossAx val="149307776"/>
        <c:crossesAt val="-2.5"/>
        <c:auto val="1"/>
        <c:lblOffset val="100"/>
        <c:baseTimeUnit val="months"/>
      </c:dateAx>
      <c:valAx>
        <c:axId val="149307776"/>
        <c:scaling>
          <c:orientation val="minMax"/>
        </c:scaling>
        <c:axPos val="l"/>
        <c:majorGridlines/>
        <c:numFmt formatCode="0.0" sourceLinked="0"/>
        <c:tickLblPos val="nextTo"/>
        <c:txPr>
          <a:bodyPr/>
          <a:lstStyle/>
          <a:p>
            <a:pPr>
              <a:defRPr sz="800"/>
            </a:pPr>
            <a:endParaRPr lang="en-US"/>
          </a:p>
        </c:txPr>
        <c:crossAx val="111729280"/>
        <c:crosses val="autoZero"/>
        <c:crossBetween val="between"/>
      </c:valAx>
    </c:plotArea>
    <c:legend>
      <c:legendPos val="b"/>
      <c:layout>
        <c:manualLayout>
          <c:xMode val="edge"/>
          <c:yMode val="edge"/>
          <c:x val="0.10158554367062556"/>
          <c:y val="0.81535890103289332"/>
          <c:w val="0.84731340862870363"/>
          <c:h val="0.18464109896710704"/>
        </c:manualLayout>
      </c:layout>
      <c:txPr>
        <a:bodyPr/>
        <a:lstStyle/>
        <a:p>
          <a:pPr>
            <a:defRPr sz="800"/>
          </a:pPr>
          <a:endParaRPr lang="en-US"/>
        </a:p>
      </c:txPr>
    </c:legend>
    <c:plotVisOnly val="1"/>
    <c:dispBlanksAs val="zero"/>
  </c:chart>
  <c:spPr>
    <a:ln w="15875"/>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b="1" i="0" u="none" strike="noStrike" baseline="0"/>
              <a:t> Meat ( Y-o-Y)</a:t>
            </a:r>
            <a:endParaRPr lang="en-US" sz="800"/>
          </a:p>
        </c:rich>
      </c:tx>
      <c:layout>
        <c:manualLayout>
          <c:xMode val="edge"/>
          <c:yMode val="edge"/>
          <c:x val="0.32788176831633847"/>
          <c:y val="3.1474714280227092E-2"/>
        </c:manualLayout>
      </c:layout>
    </c:title>
    <c:plotArea>
      <c:layout>
        <c:manualLayout>
          <c:layoutTarget val="inner"/>
          <c:xMode val="edge"/>
          <c:yMode val="edge"/>
          <c:x val="0.16663321952140392"/>
          <c:y val="0.2286189730103422"/>
          <c:w val="0.79140680337138114"/>
          <c:h val="0.48574469194414716"/>
        </c:manualLayout>
      </c:layout>
      <c:lineChart>
        <c:grouping val="stacked"/>
        <c:ser>
          <c:idx val="0"/>
          <c:order val="1"/>
          <c:tx>
            <c:strRef>
              <c:f>'Y - to -Y'!$E$1</c:f>
            </c:strRef>
          </c:tx>
          <c:spPr>
            <a:ln w="31750">
              <a:solidFill>
                <a:schemeClr val="tx2">
                  <a:lumMod val="40000"/>
                  <a:lumOff val="60000"/>
                </a:schemeClr>
              </a:solidFill>
            </a:ln>
          </c:spPr>
          <c:cat>
            <c:multiLvlStrRef>
              <c:f>'Y - to -Y'!$A$41:$A$53</c:f>
            </c:multiLvlStrRef>
          </c:cat>
          <c:val>
            <c:numRef>
              <c:f>'Y - to -Y'!$E$41:$E$53</c:f>
            </c:numRef>
          </c:val>
          <c:extLst xmlns:c16r2="http://schemas.microsoft.com/office/drawing/2015/06/chart">
            <c:ext xmlns:c16="http://schemas.microsoft.com/office/drawing/2014/chart" uri="{C3380CC4-5D6E-409C-BE32-E72D297353CC}">
              <c16:uniqueId val="{00000000-E2C2-420C-8E0A-D5F0327CCDEA}"/>
            </c:ext>
          </c:extLst>
        </c:ser>
        <c:ser>
          <c:idx val="1"/>
          <c:order val="0"/>
          <c:tx>
            <c:strRef>
              <c:f>'[Copy of گرافها.xlsx]Y - to -Y'!$E$1</c:f>
              <c:strCache>
                <c:ptCount val="1"/>
                <c:pt idx="0">
                  <c:v>  Meat</c:v>
                </c:pt>
              </c:strCache>
            </c:strRef>
          </c:tx>
          <c:spPr>
            <a:ln w="31750">
              <a:solidFill>
                <a:schemeClr val="tx2">
                  <a:lumMod val="40000"/>
                  <a:lumOff val="60000"/>
                </a:schemeClr>
              </a:solidFill>
            </a:ln>
          </c:spPr>
          <c:marker>
            <c:symbol val="circle"/>
            <c:size val="5"/>
            <c:spPr>
              <a:solidFill>
                <a:srgbClr val="8064A2">
                  <a:lumMod val="75000"/>
                </a:srgbClr>
              </a:solidFill>
              <a:ln>
                <a:solidFill>
                  <a:schemeClr val="accent3">
                    <a:lumMod val="40000"/>
                    <a:lumOff val="60000"/>
                  </a:schemeClr>
                </a:solidFill>
              </a:ln>
            </c:spPr>
          </c:marke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-Y'!$E$47:$E$59</c:f>
              <c:numCache>
                <c:formatCode>0.00</c:formatCode>
                <c:ptCount val="13"/>
                <c:pt idx="0">
                  <c:v>6.6780099426061454</c:v>
                </c:pt>
                <c:pt idx="1">
                  <c:v>9.2313546373784519</c:v>
                </c:pt>
                <c:pt idx="2">
                  <c:v>8.7945701788787183</c:v>
                </c:pt>
                <c:pt idx="3">
                  <c:v>7.569279493840094</c:v>
                </c:pt>
                <c:pt idx="4">
                  <c:v>8.3361871528771392</c:v>
                </c:pt>
                <c:pt idx="5">
                  <c:v>7.9985550991454355</c:v>
                </c:pt>
                <c:pt idx="6">
                  <c:v>8.6300000000000008</c:v>
                </c:pt>
                <c:pt idx="7">
                  <c:v>9.2800000000000011</c:v>
                </c:pt>
                <c:pt idx="8">
                  <c:v>8.67</c:v>
                </c:pt>
                <c:pt idx="9">
                  <c:v>12.03</c:v>
                </c:pt>
                <c:pt idx="10">
                  <c:v>10.7</c:v>
                </c:pt>
                <c:pt idx="11">
                  <c:v>12.49</c:v>
                </c:pt>
                <c:pt idx="12">
                  <c:v>12.63</c:v>
                </c:pt>
              </c:numCache>
            </c:numRef>
          </c:val>
          <c:extLst xmlns:c16r2="http://schemas.microsoft.com/office/drawing/2015/06/chart">
            <c:ext xmlns:c16="http://schemas.microsoft.com/office/drawing/2014/chart" uri="{C3380CC4-5D6E-409C-BE32-E72D297353CC}">
              <c16:uniqueId val="{00000001-E2C2-420C-8E0A-D5F0327CCDEA}"/>
            </c:ext>
          </c:extLst>
        </c:ser>
        <c:marker val="1"/>
        <c:axId val="151844352"/>
        <c:axId val="151845888"/>
      </c:lineChart>
      <c:dateAx>
        <c:axId val="151844352"/>
        <c:scaling>
          <c:orientation val="minMax"/>
        </c:scaling>
        <c:axPos val="b"/>
        <c:numFmt formatCode="[$-409]mmm\-yy;@" sourceLinked="1"/>
        <c:tickLblPos val="nextTo"/>
        <c:txPr>
          <a:bodyPr rot="-2700000" vert="horz"/>
          <a:lstStyle/>
          <a:p>
            <a:pPr>
              <a:defRPr sz="700"/>
            </a:pPr>
            <a:endParaRPr lang="en-US"/>
          </a:p>
        </c:txPr>
        <c:crossAx val="151845888"/>
        <c:crossesAt val="2"/>
        <c:auto val="1"/>
        <c:lblOffset val="100"/>
        <c:baseTimeUnit val="months"/>
        <c:majorUnit val="2"/>
      </c:dateAx>
      <c:valAx>
        <c:axId val="151845888"/>
        <c:scaling>
          <c:orientation val="minMax"/>
          <c:max val="16"/>
          <c:min val="0"/>
        </c:scaling>
        <c:axPos val="l"/>
        <c:majorGridlines/>
        <c:numFmt formatCode="0.0" sourceLinked="0"/>
        <c:tickLblPos val="nextTo"/>
        <c:txPr>
          <a:bodyPr rot="0"/>
          <a:lstStyle/>
          <a:p>
            <a:pPr>
              <a:defRPr sz="700"/>
            </a:pPr>
            <a:endParaRPr lang="en-US"/>
          </a:p>
        </c:txPr>
        <c:crossAx val="151844352"/>
        <c:crosses val="autoZero"/>
        <c:crossBetween val="between"/>
        <c:majorUnit val="3"/>
      </c:valAx>
      <c:spPr>
        <a:noFill/>
        <a:ln w="0">
          <a:noFill/>
        </a:ln>
      </c:spPr>
    </c:plotArea>
    <c:plotVisOnly val="1"/>
    <c:dispBlanksAs val="zero"/>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baseline="0"/>
              <a:t> Bread and Cereals(Y-o-Y)</a:t>
            </a:r>
            <a:endParaRPr lang="en-US" sz="800"/>
          </a:p>
        </c:rich>
      </c:tx>
      <c:layout>
        <c:manualLayout>
          <c:xMode val="edge"/>
          <c:yMode val="edge"/>
          <c:x val="0.21844202005855243"/>
          <c:y val="3.0628364058679292E-2"/>
        </c:manualLayout>
      </c:layout>
    </c:title>
    <c:plotArea>
      <c:layout>
        <c:manualLayout>
          <c:layoutTarget val="inner"/>
          <c:xMode val="edge"/>
          <c:yMode val="edge"/>
          <c:x val="0.20138072069539351"/>
          <c:y val="0.15706698860528293"/>
          <c:w val="0.73527389961775125"/>
          <c:h val="0.55182948494509565"/>
        </c:manualLayout>
      </c:layout>
      <c:barChart>
        <c:barDir val="col"/>
        <c:grouping val="clustered"/>
        <c:ser>
          <c:idx val="1"/>
          <c:order val="1"/>
          <c:tx>
            <c:strRef>
              <c:f>'Y - to -Y'!$D$1</c:f>
            </c:strRef>
          </c:tx>
          <c:spPr>
            <a:solidFill>
              <a:srgbClr val="595959"/>
            </a:solidFill>
            <a:ln>
              <a:solidFill>
                <a:srgbClr val="A50021">
                  <a:alpha val="91000"/>
                </a:srgbClr>
              </a:solidFill>
            </a:ln>
            <a:effectLst>
              <a:outerShdw blurRad="50800" dist="50800" dir="5400000" algn="ctr" rotWithShape="0">
                <a:schemeClr val="bg1"/>
              </a:outerShdw>
            </a:effectLst>
          </c:spPr>
          <c:cat>
            <c:multiLvlStrRef>
              <c:f>'Y - to -Y'!$A$41:$A$53</c:f>
            </c:multiLvlStrRef>
          </c:cat>
          <c:val>
            <c:numRef>
              <c:f>'Y - to -Y'!$D$41:$D$53</c:f>
            </c:numRef>
          </c:val>
          <c:extLst xmlns:c16r2="http://schemas.microsoft.com/office/drawing/2015/06/chart">
            <c:ext xmlns:c16="http://schemas.microsoft.com/office/drawing/2014/chart" uri="{C3380CC4-5D6E-409C-BE32-E72D297353CC}">
              <c16:uniqueId val="{00000000-6E09-43B1-B81E-8112CD506CE2}"/>
            </c:ext>
          </c:extLst>
        </c:ser>
        <c:ser>
          <c:idx val="0"/>
          <c:order val="0"/>
          <c:tx>
            <c:strRef>
              <c:f>'[Copy of گرافها.xlsx]Y - to -Y'!$D$1</c:f>
              <c:strCache>
                <c:ptCount val="1"/>
                <c:pt idx="0">
                  <c:v>  Bread and Cereals</c:v>
                </c:pt>
              </c:strCache>
            </c:strRef>
          </c:tx>
          <c:spPr>
            <a:solidFill>
              <a:schemeClr val="tx1">
                <a:lumMod val="65000"/>
                <a:lumOff val="35000"/>
              </a:schemeClr>
            </a:solidFill>
            <a:ln>
              <a:solidFill>
                <a:srgbClr val="A50021">
                  <a:alpha val="91000"/>
                </a:srgbClr>
              </a:solidFill>
            </a:ln>
            <a:effectLst>
              <a:outerShdw blurRad="50800" dist="50800" dir="5400000" algn="ctr" rotWithShape="0">
                <a:schemeClr val="bg1"/>
              </a:outerShdw>
            </a:effectLst>
          </c:spP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-Y'!$D$47:$D$59</c:f>
              <c:numCache>
                <c:formatCode>0.00</c:formatCode>
                <c:ptCount val="13"/>
                <c:pt idx="0">
                  <c:v>8.328062570150685</c:v>
                </c:pt>
                <c:pt idx="1">
                  <c:v>6.0529463480591685</c:v>
                </c:pt>
                <c:pt idx="2">
                  <c:v>4.0837963062869465</c:v>
                </c:pt>
                <c:pt idx="3">
                  <c:v>1.3059774587135697</c:v>
                </c:pt>
                <c:pt idx="4">
                  <c:v>1.2869089808588585</c:v>
                </c:pt>
                <c:pt idx="5">
                  <c:v>2.0625162451925863</c:v>
                </c:pt>
                <c:pt idx="6">
                  <c:v>3.4499999999999997</c:v>
                </c:pt>
                <c:pt idx="7">
                  <c:v>4.29</c:v>
                </c:pt>
                <c:pt idx="8">
                  <c:v>3.7600000000000002</c:v>
                </c:pt>
                <c:pt idx="9">
                  <c:v>15.19</c:v>
                </c:pt>
                <c:pt idx="10">
                  <c:v>14.76</c:v>
                </c:pt>
                <c:pt idx="11">
                  <c:v>15.78</c:v>
                </c:pt>
                <c:pt idx="12">
                  <c:v>14.07</c:v>
                </c:pt>
              </c:numCache>
            </c:numRef>
          </c:val>
          <c:extLst xmlns:c16r2="http://schemas.microsoft.com/office/drawing/2015/06/chart">
            <c:ext xmlns:c16="http://schemas.microsoft.com/office/drawing/2014/chart" uri="{C3380CC4-5D6E-409C-BE32-E72D297353CC}">
              <c16:uniqueId val="{00000001-6E09-43B1-B81E-8112CD506CE2}"/>
            </c:ext>
          </c:extLst>
        </c:ser>
        <c:axId val="151973888"/>
        <c:axId val="151975424"/>
      </c:barChart>
      <c:dateAx>
        <c:axId val="151973888"/>
        <c:scaling>
          <c:orientation val="minMax"/>
        </c:scaling>
        <c:axPos val="b"/>
        <c:numFmt formatCode="[$-409]mmm\-yy;@" sourceLinked="1"/>
        <c:tickLblPos val="nextTo"/>
        <c:txPr>
          <a:bodyPr rot="-2700000" vert="horz"/>
          <a:lstStyle/>
          <a:p>
            <a:pPr>
              <a:defRPr sz="700"/>
            </a:pPr>
            <a:endParaRPr lang="en-US"/>
          </a:p>
        </c:txPr>
        <c:crossAx val="151975424"/>
        <c:crossesAt val="-1"/>
        <c:auto val="1"/>
        <c:lblOffset val="100"/>
        <c:baseTimeUnit val="months"/>
      </c:dateAx>
      <c:valAx>
        <c:axId val="151975424"/>
        <c:scaling>
          <c:orientation val="minMax"/>
          <c:max val="18"/>
          <c:min val="0"/>
        </c:scaling>
        <c:axPos val="l"/>
        <c:majorGridlines/>
        <c:numFmt formatCode="0.0" sourceLinked="0"/>
        <c:tickLblPos val="nextTo"/>
        <c:txPr>
          <a:bodyPr/>
          <a:lstStyle/>
          <a:p>
            <a:pPr>
              <a:defRPr sz="750"/>
            </a:pPr>
            <a:endParaRPr lang="en-US"/>
          </a:p>
        </c:txPr>
        <c:crossAx val="151973888"/>
        <c:crosses val="autoZero"/>
        <c:crossBetween val="between"/>
        <c:majorUnit val="2"/>
      </c:valAx>
    </c:plotArea>
    <c:plotVisOnly val="1"/>
    <c:dispBlanksAs val="gap"/>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 Milk , Chees and eggs (Y-o-Y)  </a:t>
            </a:r>
          </a:p>
        </c:rich>
      </c:tx>
      <c:layout>
        <c:manualLayout>
          <c:xMode val="edge"/>
          <c:yMode val="edge"/>
          <c:x val="0.19240781117596106"/>
          <c:y val="7.1564522268747592E-3"/>
        </c:manualLayout>
      </c:layout>
    </c:title>
    <c:plotArea>
      <c:layout>
        <c:manualLayout>
          <c:layoutTarget val="inner"/>
          <c:xMode val="edge"/>
          <c:yMode val="edge"/>
          <c:x val="0.15774053016318931"/>
          <c:y val="0.1657148646961582"/>
          <c:w val="0.77630411774842512"/>
          <c:h val="0.58030267153035198"/>
        </c:manualLayout>
      </c:layout>
      <c:barChart>
        <c:barDir val="col"/>
        <c:grouping val="clustered"/>
        <c:ser>
          <c:idx val="1"/>
          <c:order val="1"/>
          <c:tx>
            <c:strRef>
              <c:f>'Y - to -Y'!$F$1</c:f>
            </c:strRef>
          </c:tx>
          <c:spPr>
            <a:solidFill>
              <a:srgbClr val="7030A0"/>
            </a:solidFill>
            <a:ln w="22225">
              <a:solidFill>
                <a:schemeClr val="tx1">
                  <a:lumMod val="75000"/>
                  <a:lumOff val="25000"/>
                </a:schemeClr>
              </a:solidFill>
            </a:ln>
          </c:spPr>
          <c:cat>
            <c:multiLvlStrRef>
              <c:f>'Y - to -Y'!$A$41:$A$53</c:f>
            </c:multiLvlStrRef>
          </c:cat>
          <c:val>
            <c:numRef>
              <c:f>'Y - to -Y'!$F$41:$F$53</c:f>
            </c:numRef>
          </c:val>
          <c:extLst xmlns:c16r2="http://schemas.microsoft.com/office/drawing/2015/06/chart">
            <c:ext xmlns:c16="http://schemas.microsoft.com/office/drawing/2014/chart" uri="{C3380CC4-5D6E-409C-BE32-E72D297353CC}">
              <c16:uniqueId val="{00000000-4129-499D-9FAA-80E760F4FF8A}"/>
            </c:ext>
          </c:extLst>
        </c:ser>
        <c:ser>
          <c:idx val="0"/>
          <c:order val="0"/>
          <c:tx>
            <c:strRef>
              <c:f>'[Copy of گرافها.xlsx]Y - to -Y'!$F$1</c:f>
              <c:strCache>
                <c:ptCount val="1"/>
                <c:pt idx="0">
                  <c:v>  Milk, cheese and eggs</c:v>
                </c:pt>
              </c:strCache>
            </c:strRef>
          </c:tx>
          <c:spPr>
            <a:solidFill>
              <a:srgbClr val="7030A0"/>
            </a:solidFill>
            <a:ln w="22225">
              <a:solidFill>
                <a:schemeClr val="tx1">
                  <a:lumMod val="75000"/>
                  <a:lumOff val="25000"/>
                </a:schemeClr>
              </a:solidFill>
            </a:ln>
          </c:spP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-Y'!$F$47:$F$59</c:f>
              <c:numCache>
                <c:formatCode>0.00</c:formatCode>
                <c:ptCount val="13"/>
                <c:pt idx="0">
                  <c:v>2.1108411055873022</c:v>
                </c:pt>
                <c:pt idx="1">
                  <c:v>0.95226552677933896</c:v>
                </c:pt>
                <c:pt idx="2">
                  <c:v>0.26913281375968789</c:v>
                </c:pt>
                <c:pt idx="3">
                  <c:v>-0.92261743526048812</c:v>
                </c:pt>
                <c:pt idx="4">
                  <c:v>-2.3080773324147597</c:v>
                </c:pt>
                <c:pt idx="5">
                  <c:v>-1.7380352449668317</c:v>
                </c:pt>
                <c:pt idx="6">
                  <c:v>-3.21</c:v>
                </c:pt>
                <c:pt idx="7">
                  <c:v>-2.63</c:v>
                </c:pt>
                <c:pt idx="8">
                  <c:v>-3.27</c:v>
                </c:pt>
                <c:pt idx="9">
                  <c:v>2.0000000000000011E-2</c:v>
                </c:pt>
                <c:pt idx="10">
                  <c:v>4.04</c:v>
                </c:pt>
                <c:pt idx="11">
                  <c:v>3.58</c:v>
                </c:pt>
                <c:pt idx="12">
                  <c:v>3.3499999999999988</c:v>
                </c:pt>
              </c:numCache>
            </c:numRef>
          </c:val>
          <c:extLst xmlns:c16r2="http://schemas.microsoft.com/office/drawing/2015/06/chart">
            <c:ext xmlns:c16="http://schemas.microsoft.com/office/drawing/2014/chart" uri="{C3380CC4-5D6E-409C-BE32-E72D297353CC}">
              <c16:uniqueId val="{00000001-4129-499D-9FAA-80E760F4FF8A}"/>
            </c:ext>
          </c:extLst>
        </c:ser>
        <c:axId val="152008960"/>
        <c:axId val="152018944"/>
      </c:barChart>
      <c:dateAx>
        <c:axId val="152008960"/>
        <c:scaling>
          <c:orientation val="minMax"/>
        </c:scaling>
        <c:axPos val="b"/>
        <c:numFmt formatCode="[$-409]mmm\-yy;@" sourceLinked="1"/>
        <c:tickLblPos val="nextTo"/>
        <c:txPr>
          <a:bodyPr rot="-2700000" vert="horz"/>
          <a:lstStyle/>
          <a:p>
            <a:pPr>
              <a:defRPr sz="700"/>
            </a:pPr>
            <a:endParaRPr lang="en-US"/>
          </a:p>
        </c:txPr>
        <c:crossAx val="152018944"/>
        <c:crossesAt val="-2"/>
        <c:auto val="1"/>
        <c:lblOffset val="100"/>
        <c:baseTimeUnit val="months"/>
      </c:dateAx>
      <c:valAx>
        <c:axId val="152018944"/>
        <c:scaling>
          <c:orientation val="minMax"/>
          <c:max val="6"/>
          <c:min val="-2.5"/>
        </c:scaling>
        <c:axPos val="l"/>
        <c:numFmt formatCode="0.0" sourceLinked="0"/>
        <c:tickLblPos val="nextTo"/>
        <c:txPr>
          <a:bodyPr/>
          <a:lstStyle/>
          <a:p>
            <a:pPr>
              <a:defRPr sz="700"/>
            </a:pPr>
            <a:endParaRPr lang="en-US"/>
          </a:p>
        </c:txPr>
        <c:crossAx val="152008960"/>
        <c:crosses val="autoZero"/>
        <c:crossBetween val="between"/>
        <c:majorUnit val="2"/>
      </c:valAx>
    </c:plotArea>
    <c:plotVisOnly val="1"/>
    <c:dispBlanksAs val="gap"/>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sz="800"/>
            </a:pPr>
            <a:r>
              <a:rPr lang="en-US" sz="800"/>
              <a:t>   Oils and fats (Y-o-Y) </a:t>
            </a:r>
          </a:p>
        </c:rich>
      </c:tx>
      <c:layout>
        <c:manualLayout>
          <c:xMode val="edge"/>
          <c:yMode val="edge"/>
          <c:x val="0.24814580001618058"/>
          <c:y val="1.5523025107576523E-2"/>
        </c:manualLayout>
      </c:layout>
    </c:title>
    <c:plotArea>
      <c:layout>
        <c:manualLayout>
          <c:layoutTarget val="inner"/>
          <c:xMode val="edge"/>
          <c:yMode val="edge"/>
          <c:x val="0.15286615281238358"/>
          <c:y val="0.1694943221785527"/>
          <c:w val="0.80797975913589926"/>
          <c:h val="0.53455309271829554"/>
        </c:manualLayout>
      </c:layout>
      <c:lineChart>
        <c:grouping val="stacked"/>
        <c:ser>
          <c:idx val="1"/>
          <c:order val="1"/>
          <c:tx>
            <c:strRef>
              <c:f>'Y - to -Y'!$G$1</c:f>
            </c:strRef>
          </c:tx>
          <c:spPr>
            <a:ln>
              <a:solidFill>
                <a:schemeClr val="accent3">
                  <a:lumMod val="50000"/>
                </a:schemeClr>
              </a:solidFill>
            </a:ln>
          </c:spPr>
          <c:cat>
            <c:multiLvlStrRef>
              <c:f>'Y - to -Y'!$A$41:$A$53</c:f>
            </c:multiLvlStrRef>
          </c:cat>
          <c:val>
            <c:numRef>
              <c:f>'Y - to -Y'!$G$41:$G$53</c:f>
            </c:numRef>
          </c:val>
          <c:extLst xmlns:c16r2="http://schemas.microsoft.com/office/drawing/2015/06/chart">
            <c:ext xmlns:c16="http://schemas.microsoft.com/office/drawing/2014/chart" uri="{C3380CC4-5D6E-409C-BE32-E72D297353CC}">
              <c16:uniqueId val="{00000000-3DCA-4F3A-BB6D-9B11504703A1}"/>
            </c:ext>
          </c:extLst>
        </c:ser>
        <c:ser>
          <c:idx val="0"/>
          <c:order val="0"/>
          <c:tx>
            <c:strRef>
              <c:f>'[Copy of گرافها.xlsx]Y - to -Y'!$G$1</c:f>
              <c:strCache>
                <c:ptCount val="1"/>
                <c:pt idx="0">
                  <c:v>  Oils and fats</c:v>
                </c:pt>
              </c:strCache>
            </c:strRef>
          </c:tx>
          <c:spPr>
            <a:ln>
              <a:solidFill>
                <a:schemeClr val="accent3">
                  <a:lumMod val="50000"/>
                </a:schemeClr>
              </a:solidFill>
            </a:ln>
          </c:spPr>
          <c:marker>
            <c:symbol val="square"/>
            <c:size val="4"/>
            <c:spPr>
              <a:solidFill>
                <a:schemeClr val="tx1"/>
              </a:solidFill>
            </c:spPr>
          </c:marker>
          <c:cat>
            <c:numRef>
              <c:f>'[Copy of گرافها.xlsx]Y - to -Y'!$A$47:$A$59</c:f>
              <c:numCache>
                <c:formatCode>[$-409]mmm\-yy;@</c:formatCode>
                <c:ptCount val="13"/>
                <c:pt idx="0">
                  <c:v>43657</c:v>
                </c:pt>
                <c:pt idx="1">
                  <c:v>43688</c:v>
                </c:pt>
                <c:pt idx="2">
                  <c:v>43719</c:v>
                </c:pt>
                <c:pt idx="3">
                  <c:v>43749</c:v>
                </c:pt>
                <c:pt idx="4">
                  <c:v>43780</c:v>
                </c:pt>
                <c:pt idx="5">
                  <c:v>43810</c:v>
                </c:pt>
                <c:pt idx="6">
                  <c:v>43850</c:v>
                </c:pt>
                <c:pt idx="7">
                  <c:v>43881</c:v>
                </c:pt>
                <c:pt idx="8">
                  <c:v>43910</c:v>
                </c:pt>
                <c:pt idx="9">
                  <c:v>43941</c:v>
                </c:pt>
                <c:pt idx="10">
                  <c:v>43971</c:v>
                </c:pt>
                <c:pt idx="11">
                  <c:v>44002</c:v>
                </c:pt>
                <c:pt idx="12">
                  <c:v>44032</c:v>
                </c:pt>
              </c:numCache>
            </c:numRef>
          </c:cat>
          <c:val>
            <c:numRef>
              <c:f>'[Copy of گرافها.xlsx]Y - to -Y'!$G$47:$G$59</c:f>
              <c:numCache>
                <c:formatCode>0.00</c:formatCode>
                <c:ptCount val="13"/>
                <c:pt idx="0">
                  <c:v>-1.9363911752235285</c:v>
                </c:pt>
                <c:pt idx="1">
                  <c:v>-2.7040362747971809</c:v>
                </c:pt>
                <c:pt idx="2">
                  <c:v>-0.91465559160821563</c:v>
                </c:pt>
                <c:pt idx="3">
                  <c:v>-0.70558009063725857</c:v>
                </c:pt>
                <c:pt idx="4">
                  <c:v>0.25461314439647609</c:v>
                </c:pt>
                <c:pt idx="5">
                  <c:v>2.1807586097901877</c:v>
                </c:pt>
                <c:pt idx="6">
                  <c:v>5.0999999999999996</c:v>
                </c:pt>
                <c:pt idx="7">
                  <c:v>6.2700000000000014</c:v>
                </c:pt>
                <c:pt idx="8">
                  <c:v>7.22</c:v>
                </c:pt>
                <c:pt idx="9">
                  <c:v>13.41</c:v>
                </c:pt>
                <c:pt idx="10">
                  <c:v>19.149999999999999</c:v>
                </c:pt>
                <c:pt idx="11">
                  <c:v>21.62</c:v>
                </c:pt>
                <c:pt idx="12">
                  <c:v>19.600000000000001</c:v>
                </c:pt>
              </c:numCache>
            </c:numRef>
          </c:val>
          <c:extLst xmlns:c16r2="http://schemas.microsoft.com/office/drawing/2015/06/chart">
            <c:ext xmlns:c16="http://schemas.microsoft.com/office/drawing/2014/chart" uri="{C3380CC4-5D6E-409C-BE32-E72D297353CC}">
              <c16:uniqueId val="{00000001-3DCA-4F3A-BB6D-9B11504703A1}"/>
            </c:ext>
          </c:extLst>
        </c:ser>
        <c:marker val="1"/>
        <c:axId val="152138496"/>
        <c:axId val="152140032"/>
      </c:lineChart>
      <c:dateAx>
        <c:axId val="152138496"/>
        <c:scaling>
          <c:orientation val="minMax"/>
        </c:scaling>
        <c:axPos val="b"/>
        <c:numFmt formatCode="[$-409]mmm\-yy;@" sourceLinked="1"/>
        <c:tickLblPos val="nextTo"/>
        <c:txPr>
          <a:bodyPr rot="-2700000"/>
          <a:lstStyle/>
          <a:p>
            <a:pPr>
              <a:defRPr sz="700"/>
            </a:pPr>
            <a:endParaRPr lang="en-US"/>
          </a:p>
        </c:txPr>
        <c:crossAx val="152140032"/>
        <c:crossesAt val="-8"/>
        <c:auto val="1"/>
        <c:lblOffset val="100"/>
        <c:baseTimeUnit val="months"/>
      </c:dateAx>
      <c:valAx>
        <c:axId val="152140032"/>
        <c:scaling>
          <c:orientation val="minMax"/>
          <c:min val="-8"/>
        </c:scaling>
        <c:axPos val="l"/>
        <c:majorGridlines/>
        <c:numFmt formatCode="0.0" sourceLinked="0"/>
        <c:tickLblPos val="nextTo"/>
        <c:txPr>
          <a:bodyPr/>
          <a:lstStyle/>
          <a:p>
            <a:pPr>
              <a:defRPr sz="600"/>
            </a:pPr>
            <a:endParaRPr lang="en-US"/>
          </a:p>
        </c:txPr>
        <c:crossAx val="152138496"/>
        <c:crosses val="autoZero"/>
        <c:crossBetween val="between"/>
        <c:majorUnit val="5"/>
      </c:valAx>
    </c:plotArea>
    <c:plotVisOnly val="1"/>
    <c:dispBlanksAs val="zero"/>
  </c:chart>
  <c:spPr>
    <a:ln>
      <a:solidFill>
        <a:schemeClr val="accent5">
          <a:lumMod val="75000"/>
        </a:schemeClr>
      </a:solidFill>
    </a:ln>
  </c:spPr>
  <c:externalData r:id="rId1">
    <c:autoUpdate val="1"/>
  </c:externalData>
</c:chartSpace>
</file>

<file path=word/drawings/drawing1.xml><?xml version="1.0" encoding="utf-8"?>
<c:userShapes xmlns:c="http://schemas.openxmlformats.org/drawingml/2006/chart">
  <cdr:relSizeAnchor xmlns:cdr="http://schemas.openxmlformats.org/drawingml/2006/chartDrawing">
    <cdr:from>
      <cdr:x>0.4959</cdr:x>
      <cdr:y>0.82661</cdr:y>
    </cdr:from>
    <cdr:to>
      <cdr:x>0.51833</cdr:x>
      <cdr:y>0.89156</cdr:y>
    </cdr:to>
    <cdr:sp macro="" textlink="">
      <cdr:nvSpPr>
        <cdr:cNvPr id="2" name="TextBox 1"/>
        <cdr:cNvSpPr txBox="1"/>
      </cdr:nvSpPr>
      <cdr:spPr>
        <a:xfrm xmlns:a="http://schemas.openxmlformats.org/drawingml/2006/main">
          <a:off x="1010869" y="1575941"/>
          <a:ext cx="45719"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0.4959</cdr:x>
      <cdr:y>0.82661</cdr:y>
    </cdr:from>
    <cdr:to>
      <cdr:x>0.51833</cdr:x>
      <cdr:y>0.89156</cdr:y>
    </cdr:to>
    <cdr:sp macro="" textlink="">
      <cdr:nvSpPr>
        <cdr:cNvPr id="3" name="TextBox 1"/>
        <cdr:cNvSpPr txBox="1"/>
      </cdr:nvSpPr>
      <cdr:spPr>
        <a:xfrm xmlns:a="http://schemas.openxmlformats.org/drawingml/2006/main">
          <a:off x="1010869" y="1575941"/>
          <a:ext cx="45719"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8997-1D39-40ED-8EEA-6693CF71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shafiq.faqirzada</dc:creator>
  <cp:lastModifiedBy>mashooq.poya</cp:lastModifiedBy>
  <cp:revision>2</cp:revision>
  <cp:lastPrinted>2020-03-25T07:06:00Z</cp:lastPrinted>
  <dcterms:created xsi:type="dcterms:W3CDTF">2022-01-05T09:34:00Z</dcterms:created>
  <dcterms:modified xsi:type="dcterms:W3CDTF">2022-01-05T09:34:00Z</dcterms:modified>
</cp:coreProperties>
</file>